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236" w:rsidRPr="007E53FF" w:rsidRDefault="00C83236" w:rsidP="007E53FF">
      <w:pPr>
        <w:widowControl w:val="0"/>
        <w:autoSpaceDE w:val="0"/>
        <w:autoSpaceDN w:val="0"/>
        <w:adjustRightInd w:val="0"/>
        <w:spacing w:before="100" w:beforeAutospacing="1" w:after="100" w:afterAutospacing="1"/>
        <w:jc w:val="both"/>
        <w:rPr>
          <w:rFonts w:ascii="Avant Garde" w:hAnsi="Avant Garde" w:cs="Arial"/>
          <w:b/>
          <w:sz w:val="20"/>
          <w:szCs w:val="20"/>
        </w:rPr>
      </w:pPr>
      <w:r w:rsidRPr="007E53FF">
        <w:rPr>
          <w:rFonts w:ascii="Avant Garde" w:hAnsi="Avant Garde" w:cs="Arial"/>
          <w:b/>
          <w:sz w:val="20"/>
          <w:szCs w:val="20"/>
        </w:rPr>
        <w:t xml:space="preserve">DICTAMEN QUE PRESENTA LA COMISIÓN DE JUSTICIA RELATIVO A DOS INICIATIVAS </w:t>
      </w:r>
      <w:r w:rsidR="00F27DB7" w:rsidRPr="007E53FF">
        <w:rPr>
          <w:rFonts w:ascii="Avant Garde" w:hAnsi="Avant Garde" w:cs="Arial"/>
          <w:b/>
          <w:sz w:val="20"/>
          <w:szCs w:val="20"/>
        </w:rPr>
        <w:t>EN MATERIA DE LEY DE SEGURIDAD SOCIAL DEL ESTADO DE GUANAJUATO.</w:t>
      </w:r>
    </w:p>
    <w:p w:rsidR="00C83236" w:rsidRPr="007E53FF" w:rsidRDefault="00C83236" w:rsidP="007E53FF">
      <w:pPr>
        <w:widowControl w:val="0"/>
        <w:autoSpaceDE w:val="0"/>
        <w:autoSpaceDN w:val="0"/>
        <w:adjustRightInd w:val="0"/>
        <w:spacing w:before="100" w:beforeAutospacing="1" w:after="100" w:afterAutospacing="1"/>
        <w:ind w:firstLine="708"/>
        <w:jc w:val="both"/>
        <w:rPr>
          <w:rFonts w:ascii="Avant Garde" w:hAnsi="Avant Garde" w:cs="Arial"/>
          <w:sz w:val="22"/>
          <w:szCs w:val="22"/>
        </w:rPr>
      </w:pPr>
      <w:r w:rsidRPr="007E53FF">
        <w:rPr>
          <w:rFonts w:ascii="Avant Garde" w:hAnsi="Avant Garde" w:cs="Arial"/>
          <w:sz w:val="22"/>
          <w:szCs w:val="22"/>
        </w:rPr>
        <w:t xml:space="preserve">A la Comisión de Justicia le fueron turnadas en su oportunidad dos iniciativas </w:t>
      </w:r>
      <w:r w:rsidR="00F27DB7" w:rsidRPr="007E53FF">
        <w:rPr>
          <w:rFonts w:ascii="Avant Garde" w:hAnsi="Avant Garde" w:cs="Arial"/>
          <w:sz w:val="22"/>
          <w:szCs w:val="22"/>
        </w:rPr>
        <w:t>en materia de Ley de Seguridad Social del Estado de Guanajuato</w:t>
      </w:r>
      <w:r w:rsidRPr="007E53FF">
        <w:rPr>
          <w:rFonts w:ascii="Avant Garde" w:hAnsi="Avant Garde" w:cs="Arial"/>
          <w:sz w:val="22"/>
          <w:szCs w:val="22"/>
        </w:rPr>
        <w:t>, para su estudio y dictamen.</w:t>
      </w:r>
    </w:p>
    <w:p w:rsidR="007E53FF" w:rsidRDefault="00C83236" w:rsidP="007E53FF">
      <w:pPr>
        <w:widowControl w:val="0"/>
        <w:autoSpaceDE w:val="0"/>
        <w:autoSpaceDN w:val="0"/>
        <w:adjustRightInd w:val="0"/>
        <w:spacing w:before="100" w:beforeAutospacing="1" w:after="100" w:afterAutospacing="1"/>
        <w:ind w:firstLine="708"/>
        <w:jc w:val="both"/>
        <w:rPr>
          <w:rFonts w:ascii="Avant Garde" w:hAnsi="Avant Garde" w:cs="Arial"/>
          <w:sz w:val="22"/>
          <w:szCs w:val="22"/>
        </w:rPr>
      </w:pPr>
      <w:r w:rsidRPr="007E53FF">
        <w:rPr>
          <w:rFonts w:ascii="Avant Garde" w:hAnsi="Avant Garde" w:cs="Arial"/>
          <w:sz w:val="22"/>
          <w:szCs w:val="22"/>
        </w:rPr>
        <w:t>Con fundamento en lo dispuesto por los artículos 113 fracción I y 171 de la Ley Orgánica del Poder Legislativo, se formula dictamen en atención a las siguientes:</w:t>
      </w:r>
    </w:p>
    <w:p w:rsidR="00C83236" w:rsidRPr="007E53FF" w:rsidRDefault="00C83236" w:rsidP="007E53FF">
      <w:pPr>
        <w:widowControl w:val="0"/>
        <w:autoSpaceDE w:val="0"/>
        <w:autoSpaceDN w:val="0"/>
        <w:adjustRightInd w:val="0"/>
        <w:spacing w:before="100" w:beforeAutospacing="1" w:after="100" w:afterAutospacing="1"/>
        <w:ind w:firstLine="708"/>
        <w:jc w:val="center"/>
        <w:rPr>
          <w:rFonts w:ascii="Avant Garde" w:hAnsi="Avant Garde" w:cs="Arial"/>
          <w:b/>
          <w:sz w:val="22"/>
          <w:szCs w:val="22"/>
        </w:rPr>
      </w:pPr>
      <w:r w:rsidRPr="007E53FF">
        <w:rPr>
          <w:rFonts w:ascii="Avant Garde" w:hAnsi="Avant Garde" w:cs="Arial"/>
          <w:b/>
          <w:sz w:val="22"/>
          <w:szCs w:val="22"/>
        </w:rPr>
        <w:t>CONSIDERACIONES</w:t>
      </w:r>
    </w:p>
    <w:p w:rsidR="00C83236" w:rsidRPr="007E53FF" w:rsidRDefault="00C83236" w:rsidP="007E53FF">
      <w:pPr>
        <w:widowControl w:val="0"/>
        <w:autoSpaceDE w:val="0"/>
        <w:autoSpaceDN w:val="0"/>
        <w:adjustRightInd w:val="0"/>
        <w:spacing w:before="100" w:beforeAutospacing="1" w:after="100" w:afterAutospacing="1"/>
        <w:ind w:firstLine="708"/>
        <w:jc w:val="both"/>
        <w:rPr>
          <w:rFonts w:ascii="Avant Garde" w:hAnsi="Avant Garde" w:cs="Arial"/>
          <w:b/>
          <w:sz w:val="22"/>
          <w:szCs w:val="22"/>
        </w:rPr>
      </w:pPr>
      <w:r w:rsidRPr="007E53FF">
        <w:rPr>
          <w:rFonts w:ascii="Avant Garde" w:hAnsi="Avant Garde" w:cs="Arial"/>
          <w:b/>
          <w:sz w:val="22"/>
          <w:szCs w:val="22"/>
        </w:rPr>
        <w:t>I.</w:t>
      </w:r>
      <w:r w:rsidRPr="007E53FF">
        <w:rPr>
          <w:rFonts w:ascii="Avant Garde" w:hAnsi="Avant Garde" w:cs="Arial"/>
          <w:b/>
          <w:sz w:val="22"/>
          <w:szCs w:val="22"/>
        </w:rPr>
        <w:tab/>
        <w:t>Proceso Legislativo.</w:t>
      </w:r>
    </w:p>
    <w:p w:rsidR="00F27DB7" w:rsidRPr="007E53FF" w:rsidRDefault="00C83236" w:rsidP="007E53FF">
      <w:pPr>
        <w:widowControl w:val="0"/>
        <w:autoSpaceDE w:val="0"/>
        <w:autoSpaceDN w:val="0"/>
        <w:adjustRightInd w:val="0"/>
        <w:spacing w:before="100" w:beforeAutospacing="1" w:after="100" w:afterAutospacing="1"/>
        <w:ind w:firstLine="708"/>
        <w:jc w:val="both"/>
        <w:rPr>
          <w:rFonts w:ascii="Avant Garde" w:hAnsi="Avant Garde" w:cs="Arial"/>
          <w:sz w:val="22"/>
          <w:szCs w:val="22"/>
        </w:rPr>
      </w:pPr>
      <w:r w:rsidRPr="007E53FF">
        <w:rPr>
          <w:rFonts w:ascii="Avant Garde" w:hAnsi="Avant Garde" w:cs="Arial"/>
          <w:sz w:val="22"/>
          <w:szCs w:val="22"/>
        </w:rPr>
        <w:t xml:space="preserve">La Comisión de Justicia recibió, por razón de turno y materia, las siguientes </w:t>
      </w:r>
      <w:r w:rsidR="007E53FF">
        <w:rPr>
          <w:rFonts w:ascii="Avant Garde" w:hAnsi="Avant Garde" w:cs="Arial"/>
          <w:sz w:val="22"/>
          <w:szCs w:val="22"/>
        </w:rPr>
        <w:t xml:space="preserve">dos </w:t>
      </w:r>
      <w:r w:rsidRPr="007E53FF">
        <w:rPr>
          <w:rFonts w:ascii="Avant Garde" w:hAnsi="Avant Garde" w:cs="Arial"/>
          <w:sz w:val="22"/>
          <w:szCs w:val="22"/>
        </w:rPr>
        <w:t>iniciativas:</w:t>
      </w:r>
      <w:r w:rsidR="007E53FF">
        <w:rPr>
          <w:rFonts w:ascii="Avant Garde" w:hAnsi="Avant Garde" w:cs="Arial"/>
          <w:sz w:val="22"/>
          <w:szCs w:val="22"/>
        </w:rPr>
        <w:t xml:space="preserve"> la primera, </w:t>
      </w:r>
      <w:r w:rsidR="00F27DB7" w:rsidRPr="007E53FF">
        <w:rPr>
          <w:rFonts w:ascii="Avant Garde" w:hAnsi="Avant Garde" w:cs="Arial"/>
          <w:sz w:val="22"/>
          <w:szCs w:val="22"/>
        </w:rPr>
        <w:t>formulada por el Gobernador del Estado relativa a una nueva Ley de Seguridad Social del Estado de Guanajuato</w:t>
      </w:r>
      <w:r w:rsidR="007E53FF">
        <w:rPr>
          <w:rFonts w:ascii="Avant Garde" w:hAnsi="Avant Garde" w:cs="Arial"/>
          <w:sz w:val="22"/>
          <w:szCs w:val="22"/>
        </w:rPr>
        <w:t xml:space="preserve">; y la segunda, </w:t>
      </w:r>
      <w:r w:rsidR="00F27DB7" w:rsidRPr="007E53FF">
        <w:rPr>
          <w:rFonts w:ascii="Avant Garde" w:hAnsi="Avant Garde" w:cs="Arial"/>
          <w:sz w:val="22"/>
          <w:szCs w:val="22"/>
        </w:rPr>
        <w:t>de adición de los artículos 18 bis y 19 bis de la Ley de Seguridad Social del Estado de Guanajuato, formulada por el diputado Alejandro Trejo Ávila, de la Representación Parlamentaria del Partido Nueva Alianza.</w:t>
      </w:r>
    </w:p>
    <w:p w:rsidR="00F27DB7" w:rsidRDefault="00F27DB7" w:rsidP="007E53FF">
      <w:pPr>
        <w:widowControl w:val="0"/>
        <w:autoSpaceDE w:val="0"/>
        <w:autoSpaceDN w:val="0"/>
        <w:adjustRightInd w:val="0"/>
        <w:spacing w:before="100" w:beforeAutospacing="1" w:after="100" w:afterAutospacing="1"/>
        <w:ind w:firstLine="708"/>
        <w:jc w:val="both"/>
        <w:rPr>
          <w:rFonts w:ascii="Avant Garde" w:hAnsi="Avant Garde" w:cs="Arial"/>
          <w:sz w:val="22"/>
          <w:szCs w:val="22"/>
        </w:rPr>
      </w:pPr>
      <w:r w:rsidRPr="007E53FF">
        <w:rPr>
          <w:rFonts w:ascii="Avant Garde" w:hAnsi="Avant Garde" w:cs="Arial"/>
          <w:sz w:val="22"/>
          <w:szCs w:val="22"/>
        </w:rPr>
        <w:t>Ambas iniciativas se radicaron el 26 de octubre de 2017, fecha misma en la que se aprobó por unanimidad de votos la siguiente metodología de trabajo:</w:t>
      </w:r>
    </w:p>
    <w:p w:rsidR="006D2D80" w:rsidRPr="001C427B" w:rsidRDefault="001C427B" w:rsidP="001C427B">
      <w:pPr>
        <w:widowControl w:val="0"/>
        <w:autoSpaceDE w:val="0"/>
        <w:autoSpaceDN w:val="0"/>
        <w:adjustRightInd w:val="0"/>
        <w:spacing w:before="100" w:beforeAutospacing="1" w:after="100" w:afterAutospacing="1"/>
        <w:ind w:firstLine="708"/>
        <w:jc w:val="both"/>
        <w:rPr>
          <w:rFonts w:ascii="Avant Garde" w:hAnsi="Avant Garde" w:cs="Arial"/>
          <w:sz w:val="22"/>
          <w:szCs w:val="22"/>
        </w:rPr>
      </w:pPr>
      <w:r>
        <w:rPr>
          <w:rFonts w:ascii="Century Gothic" w:hAnsi="Century Gothic" w:cs="Arial"/>
          <w:sz w:val="22"/>
          <w:szCs w:val="22"/>
        </w:rPr>
        <w:t>«</w:t>
      </w:r>
      <w:r>
        <w:rPr>
          <w:rFonts w:ascii="Avant Garde" w:hAnsi="Avant Garde" w:cs="Arial"/>
          <w:b/>
          <w:sz w:val="22"/>
          <w:szCs w:val="22"/>
        </w:rPr>
        <w:t xml:space="preserve">a) </w:t>
      </w:r>
      <w:r w:rsidR="006D2D80" w:rsidRPr="001C427B">
        <w:rPr>
          <w:rFonts w:ascii="Avant Garde" w:hAnsi="Avant Garde" w:cs="Arial"/>
          <w:sz w:val="22"/>
          <w:szCs w:val="22"/>
        </w:rPr>
        <w:t>Acumular para su estudio y dictamen las dos iniciativas de referencia.</w:t>
      </w:r>
      <w:r w:rsidR="006D2D80" w:rsidRPr="001C427B">
        <w:rPr>
          <w:rFonts w:ascii="Avant Garde" w:hAnsi="Avant Garde" w:cs="Arial"/>
          <w:sz w:val="22"/>
          <w:szCs w:val="22"/>
        </w:rPr>
        <w:tab/>
      </w:r>
    </w:p>
    <w:p w:rsidR="006D2D80" w:rsidRPr="001C427B" w:rsidRDefault="006D2D80" w:rsidP="001C427B">
      <w:pPr>
        <w:pStyle w:val="Prrafodelista"/>
        <w:widowControl w:val="0"/>
        <w:numPr>
          <w:ilvl w:val="0"/>
          <w:numId w:val="45"/>
        </w:numPr>
        <w:autoSpaceDE w:val="0"/>
        <w:autoSpaceDN w:val="0"/>
        <w:adjustRightInd w:val="0"/>
        <w:spacing w:before="100" w:beforeAutospacing="1" w:after="100" w:afterAutospacing="1"/>
        <w:jc w:val="both"/>
        <w:rPr>
          <w:rFonts w:ascii="Avant Garde" w:hAnsi="Avant Garde" w:cs="Arial"/>
          <w:sz w:val="22"/>
          <w:szCs w:val="22"/>
        </w:rPr>
      </w:pPr>
      <w:r w:rsidRPr="001C427B">
        <w:rPr>
          <w:rFonts w:ascii="Avant Garde" w:hAnsi="Avant Garde" w:cs="Arial"/>
          <w:sz w:val="22"/>
          <w:szCs w:val="22"/>
        </w:rPr>
        <w:t>Solicitar al Instituto de Investigaciones Legislativas del Congreso del Estado, opinión en relación a las iniciativas, concediéndole el término de 10 días hábiles contados a partir del siguiente al de la recepción de la solicitud, para que emita la misma.</w:t>
      </w:r>
    </w:p>
    <w:p w:rsidR="007E53FF" w:rsidRDefault="007E53FF" w:rsidP="007E53FF">
      <w:pPr>
        <w:pStyle w:val="Prrafodelista"/>
        <w:widowControl w:val="0"/>
        <w:autoSpaceDE w:val="0"/>
        <w:autoSpaceDN w:val="0"/>
        <w:adjustRightInd w:val="0"/>
        <w:spacing w:before="100" w:beforeAutospacing="1" w:after="100" w:afterAutospacing="1"/>
        <w:ind w:left="1068"/>
        <w:jc w:val="both"/>
        <w:rPr>
          <w:rFonts w:ascii="Avant Garde" w:hAnsi="Avant Garde" w:cs="Arial"/>
          <w:sz w:val="22"/>
          <w:szCs w:val="22"/>
        </w:rPr>
      </w:pPr>
    </w:p>
    <w:p w:rsidR="006D2D80" w:rsidRPr="001C427B" w:rsidRDefault="001C427B" w:rsidP="001C427B">
      <w:pPr>
        <w:pStyle w:val="Prrafodelista"/>
        <w:widowControl w:val="0"/>
        <w:numPr>
          <w:ilvl w:val="0"/>
          <w:numId w:val="45"/>
        </w:numPr>
        <w:autoSpaceDE w:val="0"/>
        <w:autoSpaceDN w:val="0"/>
        <w:adjustRightInd w:val="0"/>
        <w:spacing w:before="100" w:beforeAutospacing="1" w:after="100" w:afterAutospacing="1"/>
        <w:jc w:val="both"/>
        <w:rPr>
          <w:rFonts w:ascii="Avant Garde" w:hAnsi="Avant Garde" w:cs="Arial"/>
          <w:sz w:val="22"/>
          <w:szCs w:val="22"/>
        </w:rPr>
      </w:pPr>
      <w:r>
        <w:rPr>
          <w:rFonts w:ascii="Avant Garde" w:hAnsi="Avant Garde" w:cs="Arial"/>
          <w:sz w:val="22"/>
          <w:szCs w:val="22"/>
        </w:rPr>
        <w:t>S</w:t>
      </w:r>
      <w:r w:rsidR="006D2D80" w:rsidRPr="001C427B">
        <w:rPr>
          <w:rFonts w:ascii="Avant Garde" w:hAnsi="Avant Garde" w:cs="Arial"/>
          <w:sz w:val="22"/>
          <w:szCs w:val="22"/>
        </w:rPr>
        <w:t>olicitar a la Unidad de Estudios de las Finanzas Públicas opinión en relación a las iniciativas sobre su viabilidad y/o conveniencia para el sistema de seguridad social del Estado, concediéndole el término de 10 días hábiles contados a partir del siguiente al de la recepción de la solicitud, para que emita la misma.</w:t>
      </w:r>
    </w:p>
    <w:p w:rsidR="007E53FF" w:rsidRPr="007E53FF" w:rsidRDefault="007E53FF" w:rsidP="007E53FF">
      <w:pPr>
        <w:pStyle w:val="Prrafodelista"/>
        <w:rPr>
          <w:rFonts w:ascii="Avant Garde" w:hAnsi="Avant Garde" w:cs="Arial"/>
          <w:sz w:val="22"/>
          <w:szCs w:val="22"/>
        </w:rPr>
      </w:pPr>
    </w:p>
    <w:p w:rsidR="006D2D80" w:rsidRPr="001C427B" w:rsidRDefault="006D2D80" w:rsidP="001C427B">
      <w:pPr>
        <w:pStyle w:val="Prrafodelista"/>
        <w:widowControl w:val="0"/>
        <w:numPr>
          <w:ilvl w:val="0"/>
          <w:numId w:val="45"/>
        </w:numPr>
        <w:autoSpaceDE w:val="0"/>
        <w:autoSpaceDN w:val="0"/>
        <w:adjustRightInd w:val="0"/>
        <w:spacing w:before="100" w:beforeAutospacing="1" w:after="100" w:afterAutospacing="1"/>
        <w:jc w:val="both"/>
        <w:rPr>
          <w:rFonts w:ascii="Avant Garde" w:hAnsi="Avant Garde" w:cs="Arial"/>
          <w:sz w:val="22"/>
          <w:szCs w:val="22"/>
        </w:rPr>
      </w:pPr>
      <w:r w:rsidRPr="001C427B">
        <w:rPr>
          <w:rFonts w:ascii="Avant Garde" w:hAnsi="Avant Garde" w:cs="Arial"/>
          <w:sz w:val="22"/>
          <w:szCs w:val="22"/>
        </w:rPr>
        <w:t>Subir las iniciativas al portal del Congreso para consulta y participación ciudadana, por el término de 10 días hábiles.</w:t>
      </w:r>
    </w:p>
    <w:p w:rsidR="004664DD" w:rsidRPr="004664DD" w:rsidRDefault="004664DD" w:rsidP="004664DD">
      <w:pPr>
        <w:pStyle w:val="Prrafodelista"/>
        <w:rPr>
          <w:rFonts w:ascii="Avant Garde" w:hAnsi="Avant Garde" w:cs="Arial"/>
          <w:sz w:val="22"/>
          <w:szCs w:val="22"/>
        </w:rPr>
      </w:pPr>
    </w:p>
    <w:p w:rsidR="006D2D80" w:rsidRPr="004664DD" w:rsidRDefault="006D2D80" w:rsidP="001C427B">
      <w:pPr>
        <w:pStyle w:val="Prrafodelista"/>
        <w:widowControl w:val="0"/>
        <w:numPr>
          <w:ilvl w:val="0"/>
          <w:numId w:val="45"/>
        </w:numPr>
        <w:autoSpaceDE w:val="0"/>
        <w:autoSpaceDN w:val="0"/>
        <w:adjustRightInd w:val="0"/>
        <w:spacing w:before="100" w:beforeAutospacing="1" w:after="100" w:afterAutospacing="1"/>
        <w:jc w:val="both"/>
        <w:rPr>
          <w:rFonts w:ascii="Avant Garde" w:hAnsi="Avant Garde" w:cs="Arial"/>
          <w:sz w:val="22"/>
          <w:szCs w:val="22"/>
        </w:rPr>
      </w:pPr>
      <w:r w:rsidRPr="004664DD">
        <w:rPr>
          <w:rFonts w:ascii="Avant Garde" w:hAnsi="Avant Garde" w:cs="Arial"/>
          <w:sz w:val="22"/>
          <w:szCs w:val="22"/>
        </w:rPr>
        <w:t>Integrar una mesa de trabajo con:</w:t>
      </w:r>
    </w:p>
    <w:p w:rsidR="006D2D80" w:rsidRPr="007E53FF" w:rsidRDefault="004664DD" w:rsidP="007E53FF">
      <w:pPr>
        <w:widowControl w:val="0"/>
        <w:autoSpaceDE w:val="0"/>
        <w:autoSpaceDN w:val="0"/>
        <w:adjustRightInd w:val="0"/>
        <w:spacing w:before="100" w:beforeAutospacing="1" w:after="100" w:afterAutospacing="1"/>
        <w:ind w:firstLine="708"/>
        <w:jc w:val="both"/>
        <w:rPr>
          <w:rFonts w:ascii="Avant Garde" w:hAnsi="Avant Garde" w:cs="Arial"/>
          <w:sz w:val="22"/>
          <w:szCs w:val="22"/>
        </w:rPr>
      </w:pPr>
      <w:r>
        <w:rPr>
          <w:rFonts w:ascii="Avant Garde" w:hAnsi="Avant Garde" w:cs="Arial"/>
          <w:sz w:val="22"/>
          <w:szCs w:val="22"/>
        </w:rPr>
        <w:tab/>
      </w:r>
      <w:r>
        <w:rPr>
          <w:rFonts w:ascii="Century Gothic" w:hAnsi="Century Gothic" w:cs="Arial"/>
          <w:sz w:val="22"/>
          <w:szCs w:val="22"/>
        </w:rPr>
        <w:t>•</w:t>
      </w:r>
      <w:r w:rsidR="006D2D80" w:rsidRPr="007E53FF">
        <w:rPr>
          <w:rFonts w:ascii="Avant Garde" w:hAnsi="Avant Garde" w:cs="Arial"/>
          <w:sz w:val="22"/>
          <w:szCs w:val="22"/>
        </w:rPr>
        <w:t>Diputadas y diputados integrantes de la Comisión de Justicia;</w:t>
      </w:r>
    </w:p>
    <w:p w:rsidR="006D2D80" w:rsidRPr="007E53FF" w:rsidRDefault="004664DD" w:rsidP="004664DD">
      <w:pPr>
        <w:widowControl w:val="0"/>
        <w:autoSpaceDE w:val="0"/>
        <w:autoSpaceDN w:val="0"/>
        <w:adjustRightInd w:val="0"/>
        <w:spacing w:before="100" w:beforeAutospacing="1" w:after="100" w:afterAutospacing="1"/>
        <w:ind w:left="708" w:firstLine="708"/>
        <w:jc w:val="both"/>
        <w:rPr>
          <w:rFonts w:ascii="Avant Garde" w:hAnsi="Avant Garde" w:cs="Arial"/>
          <w:sz w:val="22"/>
          <w:szCs w:val="22"/>
        </w:rPr>
      </w:pPr>
      <w:r>
        <w:rPr>
          <w:rFonts w:ascii="Century Gothic" w:hAnsi="Century Gothic" w:cs="Arial"/>
          <w:sz w:val="22"/>
          <w:szCs w:val="22"/>
        </w:rPr>
        <w:t>•</w:t>
      </w:r>
      <w:r w:rsidR="006D2D80" w:rsidRPr="007E53FF">
        <w:rPr>
          <w:rFonts w:ascii="Avant Garde" w:hAnsi="Avant Garde" w:cs="Arial"/>
          <w:sz w:val="22"/>
          <w:szCs w:val="22"/>
        </w:rPr>
        <w:t xml:space="preserve">Diputados que deseen sumarse; </w:t>
      </w:r>
    </w:p>
    <w:p w:rsidR="006D2D80" w:rsidRPr="007E53FF" w:rsidRDefault="004664DD" w:rsidP="004664DD">
      <w:pPr>
        <w:widowControl w:val="0"/>
        <w:autoSpaceDE w:val="0"/>
        <w:autoSpaceDN w:val="0"/>
        <w:adjustRightInd w:val="0"/>
        <w:spacing w:before="100" w:beforeAutospacing="1" w:after="100" w:afterAutospacing="1"/>
        <w:ind w:left="708" w:firstLine="708"/>
        <w:jc w:val="both"/>
        <w:rPr>
          <w:rFonts w:ascii="Avant Garde" w:hAnsi="Avant Garde" w:cs="Arial"/>
          <w:sz w:val="22"/>
          <w:szCs w:val="22"/>
        </w:rPr>
      </w:pPr>
      <w:r>
        <w:rPr>
          <w:rFonts w:ascii="Century Gothic" w:hAnsi="Century Gothic" w:cs="Arial"/>
          <w:sz w:val="22"/>
          <w:szCs w:val="22"/>
        </w:rPr>
        <w:t>•</w:t>
      </w:r>
      <w:r w:rsidR="006D2D80" w:rsidRPr="007E53FF">
        <w:rPr>
          <w:rFonts w:ascii="Avant Garde" w:hAnsi="Avant Garde" w:cs="Arial"/>
          <w:sz w:val="22"/>
          <w:szCs w:val="22"/>
        </w:rPr>
        <w:t xml:space="preserve">Representación del Supremo Tribunal de Justicia; </w:t>
      </w:r>
    </w:p>
    <w:p w:rsidR="006D2D80" w:rsidRPr="007E53FF" w:rsidRDefault="004664DD" w:rsidP="004664DD">
      <w:pPr>
        <w:widowControl w:val="0"/>
        <w:autoSpaceDE w:val="0"/>
        <w:autoSpaceDN w:val="0"/>
        <w:adjustRightInd w:val="0"/>
        <w:spacing w:before="100" w:beforeAutospacing="1" w:after="100" w:afterAutospacing="1"/>
        <w:ind w:left="1416"/>
        <w:jc w:val="both"/>
        <w:rPr>
          <w:rFonts w:ascii="Avant Garde" w:hAnsi="Avant Garde" w:cs="Arial"/>
          <w:sz w:val="22"/>
          <w:szCs w:val="22"/>
        </w:rPr>
      </w:pPr>
      <w:r>
        <w:rPr>
          <w:rFonts w:ascii="Century Gothic" w:hAnsi="Century Gothic" w:cs="Arial"/>
          <w:sz w:val="22"/>
          <w:szCs w:val="22"/>
        </w:rPr>
        <w:t>•</w:t>
      </w:r>
      <w:r w:rsidR="006D2D80" w:rsidRPr="007E53FF">
        <w:rPr>
          <w:rFonts w:ascii="Avant Garde" w:hAnsi="Avant Garde" w:cs="Arial"/>
          <w:sz w:val="22"/>
          <w:szCs w:val="22"/>
        </w:rPr>
        <w:t>Representación del Instituto de Seguridad Social del Estado de Guanajuato;</w:t>
      </w:r>
    </w:p>
    <w:p w:rsidR="006D2D80" w:rsidRPr="007E53FF" w:rsidRDefault="004664DD" w:rsidP="007E53FF">
      <w:pPr>
        <w:widowControl w:val="0"/>
        <w:autoSpaceDE w:val="0"/>
        <w:autoSpaceDN w:val="0"/>
        <w:adjustRightInd w:val="0"/>
        <w:spacing w:before="100" w:beforeAutospacing="1" w:after="100" w:afterAutospacing="1"/>
        <w:ind w:firstLine="708"/>
        <w:jc w:val="both"/>
        <w:rPr>
          <w:rFonts w:ascii="Avant Garde" w:hAnsi="Avant Garde" w:cs="Arial"/>
          <w:sz w:val="22"/>
          <w:szCs w:val="22"/>
        </w:rPr>
      </w:pPr>
      <w:r>
        <w:rPr>
          <w:rFonts w:ascii="Avant Garde" w:hAnsi="Avant Garde" w:cs="Arial"/>
          <w:sz w:val="22"/>
          <w:szCs w:val="22"/>
        </w:rPr>
        <w:tab/>
      </w:r>
      <w:r>
        <w:rPr>
          <w:rFonts w:ascii="Century Gothic" w:hAnsi="Century Gothic" w:cs="Arial"/>
          <w:sz w:val="22"/>
          <w:szCs w:val="22"/>
        </w:rPr>
        <w:t>•</w:t>
      </w:r>
      <w:r w:rsidR="006D2D80" w:rsidRPr="007E53FF">
        <w:rPr>
          <w:rFonts w:ascii="Avant Garde" w:hAnsi="Avant Garde" w:cs="Arial"/>
          <w:sz w:val="22"/>
          <w:szCs w:val="22"/>
        </w:rPr>
        <w:t xml:space="preserve">Representación de la Coordinación General Jurídica; </w:t>
      </w:r>
    </w:p>
    <w:p w:rsidR="006D2D80" w:rsidRPr="007E53FF" w:rsidRDefault="004664DD" w:rsidP="004664DD">
      <w:pPr>
        <w:widowControl w:val="0"/>
        <w:autoSpaceDE w:val="0"/>
        <w:autoSpaceDN w:val="0"/>
        <w:adjustRightInd w:val="0"/>
        <w:spacing w:before="100" w:beforeAutospacing="1" w:after="100" w:afterAutospacing="1"/>
        <w:ind w:left="708" w:firstLine="708"/>
        <w:jc w:val="both"/>
        <w:rPr>
          <w:rFonts w:ascii="Avant Garde" w:hAnsi="Avant Garde" w:cs="Arial"/>
          <w:sz w:val="22"/>
          <w:szCs w:val="22"/>
        </w:rPr>
      </w:pPr>
      <w:r>
        <w:rPr>
          <w:rFonts w:ascii="Century Gothic" w:hAnsi="Century Gothic" w:cs="Arial"/>
          <w:sz w:val="22"/>
          <w:szCs w:val="22"/>
        </w:rPr>
        <w:t>•</w:t>
      </w:r>
      <w:r w:rsidR="006D2D80" w:rsidRPr="007E53FF">
        <w:rPr>
          <w:rFonts w:ascii="Avant Garde" w:hAnsi="Avant Garde" w:cs="Arial"/>
          <w:sz w:val="22"/>
          <w:szCs w:val="22"/>
        </w:rPr>
        <w:t xml:space="preserve">Instituto de Investigaciones Legislativas; </w:t>
      </w:r>
    </w:p>
    <w:p w:rsidR="006D2D80" w:rsidRPr="007E53FF" w:rsidRDefault="004664DD" w:rsidP="004664DD">
      <w:pPr>
        <w:widowControl w:val="0"/>
        <w:autoSpaceDE w:val="0"/>
        <w:autoSpaceDN w:val="0"/>
        <w:adjustRightInd w:val="0"/>
        <w:spacing w:before="100" w:beforeAutospacing="1" w:after="100" w:afterAutospacing="1"/>
        <w:ind w:left="708" w:firstLine="708"/>
        <w:jc w:val="both"/>
        <w:rPr>
          <w:rFonts w:ascii="Avant Garde" w:hAnsi="Avant Garde" w:cs="Arial"/>
          <w:sz w:val="22"/>
          <w:szCs w:val="22"/>
        </w:rPr>
      </w:pPr>
      <w:r>
        <w:rPr>
          <w:rFonts w:ascii="Century Gothic" w:hAnsi="Century Gothic" w:cs="Arial"/>
          <w:sz w:val="22"/>
          <w:szCs w:val="22"/>
        </w:rPr>
        <w:t>•</w:t>
      </w:r>
      <w:r w:rsidR="006D2D80" w:rsidRPr="007E53FF">
        <w:rPr>
          <w:rFonts w:ascii="Avant Garde" w:hAnsi="Avant Garde" w:cs="Arial"/>
          <w:sz w:val="22"/>
          <w:szCs w:val="22"/>
        </w:rPr>
        <w:t>Unidad de Estudios de las Finanzas Públicas.</w:t>
      </w:r>
    </w:p>
    <w:p w:rsidR="006D2D80" w:rsidRDefault="006D2D80" w:rsidP="001C427B">
      <w:pPr>
        <w:pStyle w:val="Prrafodelista"/>
        <w:widowControl w:val="0"/>
        <w:numPr>
          <w:ilvl w:val="0"/>
          <w:numId w:val="45"/>
        </w:numPr>
        <w:autoSpaceDE w:val="0"/>
        <w:autoSpaceDN w:val="0"/>
        <w:adjustRightInd w:val="0"/>
        <w:spacing w:before="100" w:beforeAutospacing="1" w:after="100" w:afterAutospacing="1"/>
        <w:jc w:val="both"/>
        <w:rPr>
          <w:rFonts w:ascii="Avant Garde" w:hAnsi="Avant Garde" w:cs="Arial"/>
          <w:sz w:val="22"/>
          <w:szCs w:val="22"/>
        </w:rPr>
      </w:pPr>
      <w:r w:rsidRPr="004664DD">
        <w:rPr>
          <w:rFonts w:ascii="Avant Garde" w:hAnsi="Avant Garde" w:cs="Arial"/>
          <w:sz w:val="22"/>
          <w:szCs w:val="22"/>
        </w:rPr>
        <w:t xml:space="preserve">Reunión o reuniones de la mesa de trabajo. </w:t>
      </w:r>
    </w:p>
    <w:p w:rsidR="004664DD" w:rsidRPr="004664DD" w:rsidRDefault="004664DD" w:rsidP="004664DD">
      <w:pPr>
        <w:pStyle w:val="Prrafodelista"/>
        <w:widowControl w:val="0"/>
        <w:autoSpaceDE w:val="0"/>
        <w:autoSpaceDN w:val="0"/>
        <w:adjustRightInd w:val="0"/>
        <w:spacing w:before="100" w:beforeAutospacing="1" w:after="100" w:afterAutospacing="1"/>
        <w:ind w:left="1068"/>
        <w:jc w:val="both"/>
        <w:rPr>
          <w:rFonts w:ascii="Avant Garde" w:hAnsi="Avant Garde" w:cs="Arial"/>
          <w:sz w:val="22"/>
          <w:szCs w:val="22"/>
        </w:rPr>
      </w:pPr>
    </w:p>
    <w:p w:rsidR="006D2D80" w:rsidRDefault="006D2D80" w:rsidP="001C427B">
      <w:pPr>
        <w:pStyle w:val="Prrafodelista"/>
        <w:widowControl w:val="0"/>
        <w:numPr>
          <w:ilvl w:val="0"/>
          <w:numId w:val="45"/>
        </w:numPr>
        <w:autoSpaceDE w:val="0"/>
        <w:autoSpaceDN w:val="0"/>
        <w:adjustRightInd w:val="0"/>
        <w:spacing w:before="100" w:beforeAutospacing="1" w:after="100" w:afterAutospacing="1"/>
        <w:jc w:val="both"/>
        <w:rPr>
          <w:rFonts w:ascii="Avant Garde" w:hAnsi="Avant Garde" w:cs="Arial"/>
          <w:sz w:val="22"/>
          <w:szCs w:val="22"/>
        </w:rPr>
      </w:pPr>
      <w:r w:rsidRPr="004664DD">
        <w:rPr>
          <w:rFonts w:ascii="Avant Garde" w:hAnsi="Avant Garde" w:cs="Arial"/>
          <w:sz w:val="22"/>
          <w:szCs w:val="22"/>
        </w:rPr>
        <w:t xml:space="preserve">Comisión de Justicia para análisis y, en su caso, acuerdos de dictamen. </w:t>
      </w:r>
    </w:p>
    <w:p w:rsidR="004664DD" w:rsidRPr="004664DD" w:rsidRDefault="004664DD" w:rsidP="004664DD">
      <w:pPr>
        <w:pStyle w:val="Prrafodelista"/>
        <w:rPr>
          <w:rFonts w:ascii="Avant Garde" w:hAnsi="Avant Garde" w:cs="Arial"/>
          <w:sz w:val="22"/>
          <w:szCs w:val="22"/>
        </w:rPr>
      </w:pPr>
    </w:p>
    <w:p w:rsidR="006D2D80" w:rsidRPr="004664DD" w:rsidRDefault="006D2D80" w:rsidP="001C427B">
      <w:pPr>
        <w:pStyle w:val="Prrafodelista"/>
        <w:widowControl w:val="0"/>
        <w:numPr>
          <w:ilvl w:val="0"/>
          <w:numId w:val="45"/>
        </w:numPr>
        <w:autoSpaceDE w:val="0"/>
        <w:autoSpaceDN w:val="0"/>
        <w:adjustRightInd w:val="0"/>
        <w:spacing w:before="100" w:beforeAutospacing="1" w:after="100" w:afterAutospacing="1"/>
        <w:jc w:val="both"/>
        <w:rPr>
          <w:rFonts w:ascii="Avant Garde" w:hAnsi="Avant Garde" w:cs="Arial"/>
          <w:sz w:val="22"/>
          <w:szCs w:val="22"/>
        </w:rPr>
      </w:pPr>
      <w:r w:rsidRPr="004664DD">
        <w:rPr>
          <w:rFonts w:ascii="Avant Garde" w:hAnsi="Avant Garde" w:cs="Arial"/>
          <w:sz w:val="22"/>
          <w:szCs w:val="22"/>
        </w:rPr>
        <w:t>Comisión de Justicia para la discusión y, en su caso, aprobación del dictamen.</w:t>
      </w:r>
      <w:r w:rsidR="001C427B">
        <w:rPr>
          <w:rFonts w:ascii="Century Gothic" w:hAnsi="Century Gothic" w:cs="Arial"/>
          <w:sz w:val="22"/>
          <w:szCs w:val="22"/>
        </w:rPr>
        <w:t>»</w:t>
      </w:r>
    </w:p>
    <w:p w:rsidR="004664DD" w:rsidRDefault="004664DD" w:rsidP="00C83236">
      <w:pPr>
        <w:pStyle w:val="Prrafodelista"/>
        <w:spacing w:line="360" w:lineRule="auto"/>
        <w:ind w:left="0"/>
        <w:rPr>
          <w:rFonts w:ascii="Verdana" w:hAnsi="Verdana"/>
          <w:i/>
          <w:sz w:val="20"/>
          <w:szCs w:val="20"/>
          <w:lang w:val="es-MX"/>
        </w:rPr>
      </w:pPr>
    </w:p>
    <w:p w:rsidR="00C83236" w:rsidRPr="00556BC3" w:rsidRDefault="00C83236" w:rsidP="00C83236">
      <w:pPr>
        <w:pStyle w:val="Prrafodelista"/>
        <w:spacing w:line="360" w:lineRule="auto"/>
        <w:ind w:left="0"/>
        <w:rPr>
          <w:rFonts w:ascii="Verdana" w:hAnsi="Verdana"/>
          <w:i/>
          <w:sz w:val="20"/>
          <w:szCs w:val="20"/>
          <w:lang w:val="es-MX"/>
        </w:rPr>
      </w:pPr>
      <w:r w:rsidRPr="00556BC3">
        <w:rPr>
          <w:rFonts w:ascii="Verdana" w:hAnsi="Verdana"/>
          <w:i/>
          <w:sz w:val="20"/>
          <w:szCs w:val="20"/>
          <w:lang w:val="es-MX"/>
        </w:rPr>
        <w:t>Seguimiento a la metodología de trabajo.</w:t>
      </w:r>
    </w:p>
    <w:p w:rsidR="004664DD" w:rsidRDefault="004664DD" w:rsidP="004664DD">
      <w:pPr>
        <w:widowControl w:val="0"/>
        <w:autoSpaceDE w:val="0"/>
        <w:autoSpaceDN w:val="0"/>
        <w:adjustRightInd w:val="0"/>
        <w:spacing w:before="100" w:beforeAutospacing="1" w:after="100" w:afterAutospacing="1"/>
        <w:ind w:firstLine="708"/>
        <w:jc w:val="both"/>
        <w:rPr>
          <w:rFonts w:ascii="Avant Garde" w:hAnsi="Avant Garde" w:cs="Arial"/>
          <w:sz w:val="22"/>
          <w:szCs w:val="22"/>
        </w:rPr>
      </w:pPr>
      <w:r>
        <w:rPr>
          <w:rFonts w:ascii="Avant Garde" w:hAnsi="Avant Garde" w:cs="Arial"/>
          <w:sz w:val="22"/>
          <w:szCs w:val="22"/>
        </w:rPr>
        <w:t>En relación a los incisos b) y c), el Instituto de Investigaciones Legislativas y la Unidad de Estudios de las Finanzas Públicas, emitieron sus respectivas opiniones.</w:t>
      </w:r>
    </w:p>
    <w:p w:rsidR="004664DD" w:rsidRPr="004664DD" w:rsidRDefault="004664DD" w:rsidP="004664DD">
      <w:pPr>
        <w:widowControl w:val="0"/>
        <w:autoSpaceDE w:val="0"/>
        <w:autoSpaceDN w:val="0"/>
        <w:adjustRightInd w:val="0"/>
        <w:spacing w:before="100" w:beforeAutospacing="1" w:after="100" w:afterAutospacing="1"/>
        <w:jc w:val="both"/>
        <w:rPr>
          <w:rFonts w:ascii="Avant Garde" w:hAnsi="Avant Garde" w:cs="Arial"/>
          <w:sz w:val="22"/>
          <w:szCs w:val="22"/>
        </w:rPr>
      </w:pPr>
      <w:r>
        <w:rPr>
          <w:rFonts w:ascii="Avant Garde" w:hAnsi="Avant Garde" w:cs="Arial"/>
          <w:sz w:val="22"/>
          <w:szCs w:val="22"/>
        </w:rPr>
        <w:tab/>
      </w:r>
      <w:r w:rsidR="001C427B">
        <w:rPr>
          <w:rFonts w:ascii="Avant Garde" w:hAnsi="Avant Garde" w:cs="Arial"/>
          <w:sz w:val="22"/>
          <w:szCs w:val="22"/>
        </w:rPr>
        <w:t xml:space="preserve">Respecto al inciso d), se </w:t>
      </w:r>
      <w:r w:rsidRPr="004664DD">
        <w:rPr>
          <w:rFonts w:ascii="Avant Garde" w:hAnsi="Avant Garde" w:cs="Arial"/>
          <w:sz w:val="22"/>
          <w:szCs w:val="22"/>
        </w:rPr>
        <w:t xml:space="preserve">subieron en su oportunidad las iniciativas al portal del Congreso para </w:t>
      </w:r>
      <w:r>
        <w:rPr>
          <w:rFonts w:ascii="Avant Garde" w:hAnsi="Avant Garde" w:cs="Arial"/>
          <w:sz w:val="22"/>
          <w:szCs w:val="22"/>
        </w:rPr>
        <w:t xml:space="preserve">consulta y participación ciudadana. </w:t>
      </w:r>
      <w:r w:rsidRPr="004664DD">
        <w:rPr>
          <w:rFonts w:ascii="Avant Garde" w:hAnsi="Avant Garde" w:cs="Arial"/>
          <w:sz w:val="22"/>
          <w:szCs w:val="22"/>
        </w:rPr>
        <w:t>No se recibieron opiniones.</w:t>
      </w:r>
    </w:p>
    <w:p w:rsidR="0038385E" w:rsidRDefault="004664DD" w:rsidP="0038385E">
      <w:pPr>
        <w:widowControl w:val="0"/>
        <w:autoSpaceDE w:val="0"/>
        <w:autoSpaceDN w:val="0"/>
        <w:adjustRightInd w:val="0"/>
        <w:spacing w:before="100" w:beforeAutospacing="1" w:after="100" w:afterAutospacing="1"/>
        <w:jc w:val="both"/>
        <w:rPr>
          <w:rFonts w:ascii="Avant Garde" w:hAnsi="Avant Garde" w:cs="Arial"/>
          <w:sz w:val="22"/>
          <w:szCs w:val="22"/>
        </w:rPr>
      </w:pPr>
      <w:r>
        <w:rPr>
          <w:rFonts w:ascii="Avant Garde" w:hAnsi="Avant Garde" w:cs="Arial"/>
          <w:sz w:val="22"/>
          <w:szCs w:val="22"/>
        </w:rPr>
        <w:tab/>
      </w:r>
      <w:r w:rsidR="001C427B">
        <w:rPr>
          <w:rFonts w:ascii="Avant Garde" w:hAnsi="Avant Garde" w:cs="Arial"/>
          <w:sz w:val="22"/>
          <w:szCs w:val="22"/>
        </w:rPr>
        <w:t xml:space="preserve">Por lo que toca a los incisos e) y f), se </w:t>
      </w:r>
      <w:r w:rsidR="0038385E">
        <w:rPr>
          <w:rFonts w:ascii="Avant Garde" w:hAnsi="Avant Garde" w:cs="Arial"/>
          <w:sz w:val="22"/>
          <w:szCs w:val="22"/>
        </w:rPr>
        <w:t xml:space="preserve">integró una mesa de trabajo, misma que llevó a cabo tres reuniones de análisis de las </w:t>
      </w:r>
      <w:r w:rsidRPr="004664DD">
        <w:rPr>
          <w:rFonts w:ascii="Avant Garde" w:hAnsi="Avant Garde" w:cs="Arial"/>
          <w:sz w:val="22"/>
          <w:szCs w:val="22"/>
        </w:rPr>
        <w:t xml:space="preserve">iniciativas, </w:t>
      </w:r>
      <w:r w:rsidR="00932EC4">
        <w:rPr>
          <w:rFonts w:ascii="Avant Garde" w:hAnsi="Avant Garde" w:cs="Arial"/>
          <w:sz w:val="22"/>
          <w:szCs w:val="22"/>
        </w:rPr>
        <w:t>los días 21 y 27 de noviembre y el</w:t>
      </w:r>
      <w:r w:rsidR="002331AE">
        <w:rPr>
          <w:rFonts w:ascii="Avant Garde" w:hAnsi="Avant Garde" w:cs="Arial"/>
          <w:sz w:val="22"/>
          <w:szCs w:val="22"/>
        </w:rPr>
        <w:t xml:space="preserve"> 4 </w:t>
      </w:r>
      <w:r w:rsidR="00932EC4">
        <w:rPr>
          <w:rFonts w:ascii="Avant Garde" w:hAnsi="Avant Garde" w:cs="Arial"/>
          <w:sz w:val="22"/>
          <w:szCs w:val="22"/>
        </w:rPr>
        <w:t xml:space="preserve">de diciembre del año en curso, </w:t>
      </w:r>
      <w:r w:rsidRPr="004664DD">
        <w:rPr>
          <w:rFonts w:ascii="Avant Garde" w:hAnsi="Avant Garde" w:cs="Arial"/>
          <w:sz w:val="22"/>
          <w:szCs w:val="22"/>
        </w:rPr>
        <w:t>en las que participaron, además de diputadas y</w:t>
      </w:r>
      <w:r w:rsidR="0038385E">
        <w:rPr>
          <w:rFonts w:ascii="Avant Garde" w:hAnsi="Avant Garde" w:cs="Arial"/>
          <w:sz w:val="22"/>
          <w:szCs w:val="22"/>
        </w:rPr>
        <w:t xml:space="preserve"> diputados integrantes de esta comisión l</w:t>
      </w:r>
      <w:r w:rsidRPr="004664DD">
        <w:rPr>
          <w:rFonts w:ascii="Avant Garde" w:hAnsi="Avant Garde" w:cs="Arial"/>
          <w:sz w:val="22"/>
          <w:szCs w:val="22"/>
        </w:rPr>
        <w:t>egislativa,</w:t>
      </w:r>
      <w:r w:rsidR="0038385E">
        <w:rPr>
          <w:rFonts w:ascii="Avant Garde" w:hAnsi="Avant Garde" w:cs="Arial"/>
          <w:sz w:val="22"/>
          <w:szCs w:val="22"/>
        </w:rPr>
        <w:t xml:space="preserve"> el diputado Alejandro Trejo Ávila, en su calidad de iniciante; por parte del Instituto de Seguridad Social del Estado de Guanajuato, el C.P.F. Edmundo Alain Soto Torres, Subdirector General de Administración y Finanzas, el Maestro Armando Castro Castro, </w:t>
      </w:r>
      <w:r w:rsidR="0038385E">
        <w:rPr>
          <w:rFonts w:ascii="Avant Garde" w:hAnsi="Avant Garde" w:cs="Arial"/>
          <w:sz w:val="22"/>
          <w:szCs w:val="22"/>
        </w:rPr>
        <w:lastRenderedPageBreak/>
        <w:t>Subdirector General de Planeación, el C.P. Jaime Trejo Ávila, Subdirector General de Prestaciones, el Licenciado José Luis Rizo Rocha, Director Jurídico, y el C.P. Carlos Alberto Martínez Tenorio, Coordinador de Auditoría Interna; por la Coordinación General Jurídica, el licenciado Vicente Vázquez Bustos, Director de Agenda Legislativa y Reglamentación; del Instituto de Investigaciones Legislativas</w:t>
      </w:r>
      <w:r w:rsidR="001C427B">
        <w:rPr>
          <w:rFonts w:ascii="Avant Garde" w:hAnsi="Avant Garde" w:cs="Arial"/>
          <w:sz w:val="22"/>
          <w:szCs w:val="22"/>
        </w:rPr>
        <w:t xml:space="preserve">, </w:t>
      </w:r>
      <w:r w:rsidR="0038385E">
        <w:rPr>
          <w:rFonts w:ascii="Avant Garde" w:hAnsi="Avant Garde" w:cs="Arial"/>
          <w:sz w:val="22"/>
          <w:szCs w:val="22"/>
        </w:rPr>
        <w:t xml:space="preserve">el Maestro Plinio Manuel Martínez Tafolla, Director </w:t>
      </w:r>
      <w:r w:rsidR="00932EC4">
        <w:rPr>
          <w:rFonts w:ascii="Avant Garde" w:hAnsi="Avant Garde" w:cs="Arial"/>
          <w:sz w:val="22"/>
          <w:szCs w:val="22"/>
        </w:rPr>
        <w:t>de dicho Instituto, y el Maestro Antonio Silverio Martínez Hernández; y de la Unidad de Estudios de las Finanzas Públicas, el C.P. Joel Arredondo García, Director de la Unidad, y el</w:t>
      </w:r>
      <w:r w:rsidR="001C427B">
        <w:rPr>
          <w:rFonts w:ascii="Avant Garde" w:hAnsi="Avant Garde" w:cs="Arial"/>
          <w:sz w:val="22"/>
          <w:szCs w:val="22"/>
        </w:rPr>
        <w:t xml:space="preserve"> Licenciado Enrique Orozco Mora; </w:t>
      </w:r>
      <w:r w:rsidR="00932EC4">
        <w:rPr>
          <w:rFonts w:ascii="Avant Garde" w:hAnsi="Avant Garde" w:cs="Arial"/>
          <w:sz w:val="22"/>
          <w:szCs w:val="22"/>
        </w:rPr>
        <w:t>así como los asesores de los diversos grupos y representaciones parlamentarios.</w:t>
      </w:r>
    </w:p>
    <w:p w:rsidR="004664DD" w:rsidRPr="00932EC4" w:rsidRDefault="004664DD" w:rsidP="00932EC4">
      <w:pPr>
        <w:widowControl w:val="0"/>
        <w:autoSpaceDE w:val="0"/>
        <w:autoSpaceDN w:val="0"/>
        <w:adjustRightInd w:val="0"/>
        <w:spacing w:before="100" w:beforeAutospacing="1" w:after="100" w:afterAutospacing="1"/>
        <w:ind w:firstLine="708"/>
        <w:jc w:val="both"/>
        <w:rPr>
          <w:rFonts w:ascii="Avant Garde" w:hAnsi="Avant Garde" w:cs="Arial"/>
          <w:sz w:val="22"/>
          <w:szCs w:val="22"/>
        </w:rPr>
      </w:pPr>
      <w:r w:rsidRPr="00932EC4">
        <w:rPr>
          <w:rFonts w:ascii="Avant Garde" w:hAnsi="Avant Garde" w:cs="Arial"/>
          <w:sz w:val="22"/>
          <w:szCs w:val="22"/>
        </w:rPr>
        <w:t>En reunión de la Com</w:t>
      </w:r>
      <w:r w:rsidR="00932EC4">
        <w:rPr>
          <w:rFonts w:ascii="Avant Garde" w:hAnsi="Avant Garde" w:cs="Arial"/>
          <w:sz w:val="22"/>
          <w:szCs w:val="22"/>
        </w:rPr>
        <w:t>isión de Justicia celebrada el</w:t>
      </w:r>
      <w:r w:rsidR="002331AE">
        <w:rPr>
          <w:rFonts w:ascii="Avant Garde" w:hAnsi="Avant Garde" w:cs="Arial"/>
          <w:sz w:val="22"/>
          <w:szCs w:val="22"/>
        </w:rPr>
        <w:t xml:space="preserve"> 6 </w:t>
      </w:r>
      <w:r w:rsidRPr="00932EC4">
        <w:rPr>
          <w:rFonts w:ascii="Avant Garde" w:hAnsi="Avant Garde" w:cs="Arial"/>
          <w:sz w:val="22"/>
          <w:szCs w:val="22"/>
        </w:rPr>
        <w:t xml:space="preserve">de </w:t>
      </w:r>
      <w:r w:rsidR="00932EC4">
        <w:rPr>
          <w:rFonts w:ascii="Avant Garde" w:hAnsi="Avant Garde" w:cs="Arial"/>
          <w:sz w:val="22"/>
          <w:szCs w:val="22"/>
        </w:rPr>
        <w:t>diciembre</w:t>
      </w:r>
      <w:r w:rsidRPr="00932EC4">
        <w:rPr>
          <w:rFonts w:ascii="Avant Garde" w:hAnsi="Avant Garde" w:cs="Arial"/>
          <w:sz w:val="22"/>
          <w:szCs w:val="22"/>
        </w:rPr>
        <w:t>, se instruyó por parte de la presidencia de la misma, la elaboración del dictamen en sentido positivo con los ajustes propuestos en dicha</w:t>
      </w:r>
      <w:r w:rsidR="00827BF6">
        <w:rPr>
          <w:rFonts w:ascii="Avant Garde" w:hAnsi="Avant Garde" w:cs="Arial"/>
          <w:sz w:val="22"/>
          <w:szCs w:val="22"/>
        </w:rPr>
        <w:t>s</w:t>
      </w:r>
      <w:r w:rsidRPr="00932EC4">
        <w:rPr>
          <w:rFonts w:ascii="Avant Garde" w:hAnsi="Avant Garde" w:cs="Arial"/>
          <w:sz w:val="22"/>
          <w:szCs w:val="22"/>
        </w:rPr>
        <w:t xml:space="preserve"> reuni</w:t>
      </w:r>
      <w:r w:rsidR="00827BF6">
        <w:rPr>
          <w:rFonts w:ascii="Avant Garde" w:hAnsi="Avant Garde" w:cs="Arial"/>
          <w:sz w:val="22"/>
          <w:szCs w:val="22"/>
        </w:rPr>
        <w:t>ones</w:t>
      </w:r>
      <w:r w:rsidRPr="00932EC4">
        <w:rPr>
          <w:rFonts w:ascii="Avant Garde" w:hAnsi="Avant Garde" w:cs="Arial"/>
          <w:sz w:val="22"/>
          <w:szCs w:val="22"/>
        </w:rPr>
        <w:t>.</w:t>
      </w:r>
    </w:p>
    <w:p w:rsidR="00932EC4" w:rsidRPr="002176D1" w:rsidRDefault="00932EC4" w:rsidP="00932EC4">
      <w:pPr>
        <w:pStyle w:val="Textoindependiente"/>
        <w:spacing w:line="360" w:lineRule="auto"/>
        <w:rPr>
          <w:rFonts w:ascii="Verdana" w:eastAsia="SimSun" w:hAnsi="Verdana"/>
          <w:b/>
          <w:bCs/>
          <w:sz w:val="20"/>
          <w:szCs w:val="20"/>
        </w:rPr>
      </w:pPr>
      <w:r w:rsidRPr="002176D1">
        <w:rPr>
          <w:rFonts w:ascii="Verdana" w:eastAsia="SimSun" w:hAnsi="Verdana"/>
          <w:b/>
          <w:sz w:val="20"/>
          <w:szCs w:val="20"/>
        </w:rPr>
        <w:t>II.</w:t>
      </w:r>
      <w:r w:rsidRPr="002176D1">
        <w:rPr>
          <w:rFonts w:ascii="Verdana" w:eastAsia="SimSun" w:hAnsi="Verdana"/>
          <w:b/>
          <w:sz w:val="20"/>
          <w:szCs w:val="20"/>
        </w:rPr>
        <w:tab/>
        <w:t>Objeto de l</w:t>
      </w:r>
      <w:r>
        <w:rPr>
          <w:rFonts w:ascii="Verdana" w:eastAsia="SimSun" w:hAnsi="Verdana"/>
          <w:b/>
          <w:sz w:val="20"/>
          <w:szCs w:val="20"/>
        </w:rPr>
        <w:t xml:space="preserve">as </w:t>
      </w:r>
      <w:r w:rsidRPr="002176D1">
        <w:rPr>
          <w:rFonts w:ascii="Verdana" w:eastAsia="SimSun" w:hAnsi="Verdana"/>
          <w:b/>
          <w:sz w:val="20"/>
          <w:szCs w:val="20"/>
        </w:rPr>
        <w:t>iniciativa</w:t>
      </w:r>
      <w:r>
        <w:rPr>
          <w:rFonts w:ascii="Verdana" w:eastAsia="SimSun" w:hAnsi="Verdana"/>
          <w:b/>
          <w:sz w:val="20"/>
          <w:szCs w:val="20"/>
        </w:rPr>
        <w:t>s</w:t>
      </w:r>
      <w:r w:rsidRPr="002176D1">
        <w:rPr>
          <w:rFonts w:ascii="Verdana" w:eastAsia="SimSun" w:hAnsi="Verdana"/>
          <w:b/>
          <w:sz w:val="20"/>
          <w:szCs w:val="20"/>
        </w:rPr>
        <w:t>.</w:t>
      </w:r>
    </w:p>
    <w:p w:rsidR="0014445A" w:rsidRPr="00633BC3" w:rsidRDefault="0014445A" w:rsidP="00633BC3">
      <w:pPr>
        <w:widowControl w:val="0"/>
        <w:autoSpaceDE w:val="0"/>
        <w:autoSpaceDN w:val="0"/>
        <w:adjustRightInd w:val="0"/>
        <w:spacing w:before="100" w:beforeAutospacing="1" w:after="100" w:afterAutospacing="1"/>
        <w:ind w:firstLine="708"/>
        <w:jc w:val="both"/>
        <w:rPr>
          <w:rFonts w:ascii="Avant Garde" w:hAnsi="Avant Garde" w:cs="Arial"/>
          <w:sz w:val="22"/>
          <w:szCs w:val="22"/>
        </w:rPr>
      </w:pPr>
      <w:r w:rsidRPr="00633BC3">
        <w:rPr>
          <w:rFonts w:ascii="Avant Garde" w:hAnsi="Avant Garde" w:cs="Arial"/>
          <w:sz w:val="22"/>
          <w:szCs w:val="22"/>
        </w:rPr>
        <w:t xml:space="preserve">En relación a la primera de las iniciativas, el </w:t>
      </w:r>
      <w:r w:rsidR="00C319F1" w:rsidRPr="00633BC3">
        <w:rPr>
          <w:rFonts w:ascii="Avant Garde" w:hAnsi="Avant Garde" w:cs="Arial"/>
          <w:sz w:val="22"/>
          <w:szCs w:val="22"/>
        </w:rPr>
        <w:t>Gobernador del Estado expone, además de los antecedentes de la Ley de Seguridad Social y la inserción en el Sistema de Planeación, l</w:t>
      </w:r>
      <w:r w:rsidRPr="00633BC3">
        <w:rPr>
          <w:rFonts w:ascii="Avant Garde" w:hAnsi="Avant Garde" w:cs="Arial"/>
          <w:sz w:val="22"/>
          <w:szCs w:val="22"/>
        </w:rPr>
        <w:t>a finalidad de un nuevo marco jurídico «…adecuado que permita regular eficazmente las prestaciones en materia de seguridad social, así como la propia organización interna del Instituto de Seguridad Social del Estado de Guanajuato, observando siempre la premisa fundamental de otorgar beneficios a los derechohabientes del Instituto, al contar con un ordenamiento que regule en forma más precisa los derechos y obligaciones en la materia.»</w:t>
      </w:r>
    </w:p>
    <w:p w:rsidR="0014445A" w:rsidRPr="00633BC3" w:rsidRDefault="0014445A" w:rsidP="00633BC3">
      <w:pPr>
        <w:widowControl w:val="0"/>
        <w:autoSpaceDE w:val="0"/>
        <w:autoSpaceDN w:val="0"/>
        <w:adjustRightInd w:val="0"/>
        <w:spacing w:before="100" w:beforeAutospacing="1" w:after="100" w:afterAutospacing="1"/>
        <w:ind w:firstLine="708"/>
        <w:jc w:val="both"/>
        <w:rPr>
          <w:rFonts w:ascii="Avant Garde" w:hAnsi="Avant Garde" w:cs="Arial"/>
          <w:sz w:val="22"/>
          <w:szCs w:val="22"/>
        </w:rPr>
      </w:pPr>
      <w:r w:rsidRPr="00633BC3">
        <w:rPr>
          <w:rFonts w:ascii="Avant Garde" w:hAnsi="Avant Garde" w:cs="Arial"/>
          <w:sz w:val="22"/>
          <w:szCs w:val="22"/>
        </w:rPr>
        <w:t>Destaca que</w:t>
      </w:r>
      <w:r w:rsidR="001C427B">
        <w:rPr>
          <w:rFonts w:ascii="Avant Garde" w:hAnsi="Avant Garde" w:cs="Arial"/>
          <w:sz w:val="22"/>
          <w:szCs w:val="22"/>
        </w:rPr>
        <w:t xml:space="preserve">: </w:t>
      </w:r>
      <w:r w:rsidRPr="00633BC3">
        <w:rPr>
          <w:rFonts w:ascii="Avant Garde" w:hAnsi="Avant Garde" w:cs="Arial"/>
          <w:sz w:val="22"/>
          <w:szCs w:val="22"/>
        </w:rPr>
        <w:t>«Se ha considerado la expedición de un nuevo ordenamiento y no solo una iniciativa de reformas, adiciones y derogaciones, atentos a que la vigente Ley de Seguridad Social del Estado de Guanajuato, en más de quince años de vigencia, ha sido objeto de cinco reformas: i) Decreto 227</w:t>
      </w:r>
      <w:r w:rsidRPr="00633BC3">
        <w:rPr>
          <w:rFonts w:cs="Arial"/>
        </w:rPr>
        <w:footnoteReference w:id="1"/>
      </w:r>
      <w:r w:rsidRPr="00633BC3">
        <w:rPr>
          <w:rFonts w:ascii="Avant Garde" w:hAnsi="Avant Garde" w:cs="Arial"/>
          <w:sz w:val="22"/>
          <w:szCs w:val="22"/>
        </w:rPr>
        <w:t xml:space="preserve"> de la Sexagésima </w:t>
      </w:r>
      <w:r w:rsidRPr="00633BC3">
        <w:rPr>
          <w:rFonts w:ascii="Avant Garde" w:hAnsi="Avant Garde" w:cs="Arial"/>
          <w:sz w:val="22"/>
          <w:szCs w:val="22"/>
        </w:rPr>
        <w:lastRenderedPageBreak/>
        <w:t>Legislatura —publicado en el Periódico Oficial del Gobierno del Estado número 205 Primera Parte, del 23 de diciembre de 2008</w:t>
      </w:r>
      <w:r w:rsidRPr="00633BC3">
        <w:rPr>
          <w:rFonts w:ascii="Avant Garde" w:hAnsi="Avant Garde" w:cs="Arial" w:hint="eastAsia"/>
          <w:sz w:val="22"/>
          <w:szCs w:val="22"/>
        </w:rPr>
        <w:t>—</w:t>
      </w:r>
      <w:r w:rsidRPr="00633BC3">
        <w:rPr>
          <w:rFonts w:ascii="Avant Garde" w:hAnsi="Avant Garde" w:cs="Arial"/>
          <w:sz w:val="22"/>
          <w:szCs w:val="22"/>
        </w:rPr>
        <w:t>; ii) Decreto número 74</w:t>
      </w:r>
      <w:r w:rsidRPr="00633BC3">
        <w:rPr>
          <w:rFonts w:cs="Arial"/>
        </w:rPr>
        <w:footnoteReference w:id="2"/>
      </w:r>
      <w:r w:rsidRPr="00633BC3">
        <w:rPr>
          <w:rFonts w:ascii="Avant Garde" w:hAnsi="Avant Garde" w:cs="Arial"/>
          <w:sz w:val="22"/>
          <w:szCs w:val="22"/>
        </w:rPr>
        <w:t xml:space="preserve"> de la Sexagésima Segunda Legislatura —publicado en el Periódico Oficial del Gobierno del Estado número 91</w:t>
      </w:r>
      <w:r w:rsidR="001C427B">
        <w:rPr>
          <w:rFonts w:ascii="Avant Garde" w:hAnsi="Avant Garde" w:cs="Arial"/>
          <w:sz w:val="22"/>
          <w:szCs w:val="22"/>
        </w:rPr>
        <w:t xml:space="preserve"> </w:t>
      </w:r>
      <w:r w:rsidRPr="00633BC3">
        <w:rPr>
          <w:rFonts w:ascii="Avant Garde" w:hAnsi="Avant Garde" w:cs="Arial"/>
          <w:sz w:val="22"/>
          <w:szCs w:val="22"/>
        </w:rPr>
        <w:t>Tercera Parte, del 7 de junio de 2013</w:t>
      </w:r>
      <w:r w:rsidRPr="00633BC3">
        <w:rPr>
          <w:rFonts w:ascii="Avant Garde" w:hAnsi="Avant Garde" w:cs="Arial" w:hint="eastAsia"/>
          <w:sz w:val="22"/>
          <w:szCs w:val="22"/>
        </w:rPr>
        <w:t>—</w:t>
      </w:r>
      <w:r w:rsidRPr="00633BC3">
        <w:rPr>
          <w:rFonts w:ascii="Avant Garde" w:hAnsi="Avant Garde" w:cs="Arial"/>
          <w:sz w:val="22"/>
          <w:szCs w:val="22"/>
        </w:rPr>
        <w:t>; iii) Decreto número 152</w:t>
      </w:r>
      <w:r w:rsidRPr="00633BC3">
        <w:rPr>
          <w:rFonts w:cs="Arial"/>
        </w:rPr>
        <w:footnoteReference w:id="3"/>
      </w:r>
      <w:r w:rsidRPr="00633BC3">
        <w:rPr>
          <w:rFonts w:ascii="Avant Garde" w:hAnsi="Avant Garde" w:cs="Arial"/>
          <w:sz w:val="22"/>
          <w:szCs w:val="22"/>
        </w:rPr>
        <w:t xml:space="preserve"> de la Sexagésima Segunda Legislatura —publicado en el Periódico Oficial del Gobierno del Estado número 207 Décima Novena Parte, del 27 de diciembre de 2013</w:t>
      </w:r>
      <w:r w:rsidRPr="00633BC3">
        <w:rPr>
          <w:rFonts w:ascii="Avant Garde" w:hAnsi="Avant Garde" w:cs="Arial" w:hint="eastAsia"/>
          <w:sz w:val="22"/>
          <w:szCs w:val="22"/>
        </w:rPr>
        <w:t>—</w:t>
      </w:r>
      <w:r w:rsidRPr="00633BC3">
        <w:rPr>
          <w:rFonts w:ascii="Avant Garde" w:hAnsi="Avant Garde" w:cs="Arial"/>
          <w:sz w:val="22"/>
          <w:szCs w:val="22"/>
        </w:rPr>
        <w:t>; iv) Decreto número 281</w:t>
      </w:r>
      <w:r w:rsidRPr="00633BC3">
        <w:rPr>
          <w:rFonts w:cs="Arial"/>
        </w:rPr>
        <w:footnoteReference w:id="4"/>
      </w:r>
      <w:r w:rsidRPr="00633BC3">
        <w:rPr>
          <w:rFonts w:ascii="Avant Garde" w:hAnsi="Avant Garde" w:cs="Arial"/>
          <w:sz w:val="22"/>
          <w:szCs w:val="22"/>
        </w:rPr>
        <w:t xml:space="preserve"> de la Sexagésima Segunda Legislatura —publicado en el Periódico Oficial del Gobierno del Estado número 64 Cuarta  Parte, del 21 de abril de 2015</w:t>
      </w:r>
      <w:r w:rsidRPr="00633BC3">
        <w:rPr>
          <w:rFonts w:ascii="Avant Garde" w:hAnsi="Avant Garde" w:cs="Arial" w:hint="eastAsia"/>
          <w:sz w:val="22"/>
          <w:szCs w:val="22"/>
        </w:rPr>
        <w:t>—</w:t>
      </w:r>
      <w:r w:rsidRPr="00633BC3">
        <w:rPr>
          <w:rFonts w:ascii="Avant Garde" w:hAnsi="Avant Garde" w:cs="Arial"/>
          <w:sz w:val="22"/>
          <w:szCs w:val="22"/>
        </w:rPr>
        <w:t>; y v) Decreto número 104</w:t>
      </w:r>
      <w:r w:rsidRPr="00633BC3">
        <w:rPr>
          <w:rFonts w:cs="Arial"/>
        </w:rPr>
        <w:footnoteReference w:id="5"/>
      </w:r>
      <w:r w:rsidRPr="00633BC3">
        <w:rPr>
          <w:rFonts w:ascii="Avant Garde" w:hAnsi="Avant Garde" w:cs="Arial"/>
          <w:sz w:val="22"/>
          <w:szCs w:val="22"/>
        </w:rPr>
        <w:t xml:space="preserve"> expedido por la Sexagésima Tercera Legislatura —publicado en el Periódico Oficial del Gobierno del Estado número 105 Segunda Parte, del 1 de julio de 2016</w:t>
      </w:r>
      <w:r w:rsidRPr="00633BC3">
        <w:rPr>
          <w:rFonts w:ascii="Avant Garde" w:hAnsi="Avant Garde" w:cs="Arial" w:hint="eastAsia"/>
          <w:sz w:val="22"/>
          <w:szCs w:val="22"/>
        </w:rPr>
        <w:t>—</w:t>
      </w:r>
      <w:r w:rsidRPr="00633BC3">
        <w:rPr>
          <w:rFonts w:ascii="Avant Garde" w:hAnsi="Avant Garde" w:cs="Arial"/>
          <w:sz w:val="22"/>
          <w:szCs w:val="22"/>
        </w:rPr>
        <w:t>.</w:t>
      </w:r>
    </w:p>
    <w:p w:rsidR="0014445A" w:rsidRPr="00715529" w:rsidRDefault="0014445A" w:rsidP="0014445A">
      <w:pPr>
        <w:widowControl w:val="0"/>
        <w:jc w:val="both"/>
        <w:rPr>
          <w:rFonts w:ascii="Avant Garde" w:hAnsi="Avant Garde"/>
          <w:sz w:val="22"/>
          <w:szCs w:val="22"/>
        </w:rPr>
      </w:pPr>
      <w:r w:rsidRPr="00715529">
        <w:rPr>
          <w:rFonts w:ascii="Avant Garde" w:hAnsi="Avant Garde"/>
          <w:sz w:val="22"/>
          <w:szCs w:val="22"/>
        </w:rPr>
        <w:tab/>
        <w:t xml:space="preserve">Esto es, a la fecha se han reformado, adicionado y derogado, 107 artículos </w:t>
      </w:r>
      <w:r w:rsidRPr="00715529">
        <w:rPr>
          <w:rFonts w:ascii="Avant Garde" w:hAnsi="Avant Garde" w:hint="eastAsia"/>
          <w:sz w:val="22"/>
          <w:szCs w:val="22"/>
        </w:rPr>
        <w:t>—</w:t>
      </w:r>
      <w:r w:rsidRPr="00715529">
        <w:rPr>
          <w:rFonts w:ascii="Avant Garde" w:hAnsi="Avant Garde"/>
          <w:sz w:val="22"/>
          <w:szCs w:val="22"/>
        </w:rPr>
        <w:t>varios dispositivos en más de una ocasión— de la Ley de Seguridad Social, de modo que considerando que la Ley consta de 128 artículos —sin considerar los transitorios—, ha sido reformada en un 84% de su texto primigenio.</w:t>
      </w:r>
    </w:p>
    <w:p w:rsidR="0014445A" w:rsidRPr="00715529" w:rsidRDefault="0014445A" w:rsidP="0014445A">
      <w:pPr>
        <w:widowControl w:val="0"/>
        <w:jc w:val="both"/>
        <w:rPr>
          <w:rFonts w:ascii="Avant Garde" w:hAnsi="Avant Garde"/>
          <w:sz w:val="22"/>
          <w:szCs w:val="22"/>
        </w:rPr>
      </w:pPr>
    </w:p>
    <w:p w:rsidR="0014445A" w:rsidRPr="00715529" w:rsidRDefault="0014445A" w:rsidP="0014445A">
      <w:pPr>
        <w:widowControl w:val="0"/>
        <w:jc w:val="both"/>
        <w:rPr>
          <w:rFonts w:ascii="Avant Garde" w:hAnsi="Avant Garde"/>
          <w:sz w:val="22"/>
          <w:szCs w:val="22"/>
        </w:rPr>
      </w:pPr>
      <w:r>
        <w:rPr>
          <w:rFonts w:ascii="Avant Garde" w:hAnsi="Avant Garde"/>
          <w:b/>
          <w:color w:val="1F3864" w:themeColor="accent5" w:themeShade="80"/>
          <w:sz w:val="22"/>
          <w:szCs w:val="22"/>
        </w:rPr>
        <w:tab/>
      </w:r>
      <w:r w:rsidRPr="00715529">
        <w:rPr>
          <w:rFonts w:ascii="Avant Garde" w:hAnsi="Avant Garde"/>
          <w:sz w:val="22"/>
          <w:szCs w:val="22"/>
        </w:rPr>
        <w:t xml:space="preserve">El texto jurídico comunica derechos, obligaciones, procedimientos, instituciones o situaciones, ya sea para reconocerlos, crearlos, modificarlos, extinguirlos, etc., y está contenido en documentos escritos cuyas estructura y </w:t>
      </w:r>
      <w:r w:rsidRPr="00715529">
        <w:rPr>
          <w:rFonts w:ascii="Avant Garde" w:hAnsi="Avant Garde"/>
          <w:sz w:val="22"/>
          <w:szCs w:val="22"/>
        </w:rPr>
        <w:lastRenderedPageBreak/>
        <w:t>sustancia varían según su alcance y propósito particulares; así, el principio de eficacia parlamentaria expresa que es deseable que todas las proposiciones de carácter jurídico que contengan las iniciativas se presenten de forma clara y sencilla, bien estructuradas y redactadas en la forma que exige el artículo 168 de la Ley Orgánica del Poder Legislativo para el Estado de Guanajuato.</w:t>
      </w:r>
    </w:p>
    <w:p w:rsidR="0014445A" w:rsidRPr="00181EE8" w:rsidRDefault="0014445A" w:rsidP="0014445A">
      <w:pPr>
        <w:widowControl w:val="0"/>
        <w:ind w:left="720"/>
        <w:jc w:val="both"/>
        <w:rPr>
          <w:rFonts w:ascii="Avant Garde" w:hAnsi="Avant Garde"/>
          <w:b/>
          <w:color w:val="1F3864" w:themeColor="accent5" w:themeShade="80"/>
          <w:sz w:val="22"/>
          <w:szCs w:val="22"/>
        </w:rPr>
      </w:pPr>
    </w:p>
    <w:p w:rsidR="0014445A" w:rsidRPr="00F0262E" w:rsidRDefault="0014445A" w:rsidP="0014445A">
      <w:pPr>
        <w:widowControl w:val="0"/>
        <w:jc w:val="both"/>
        <w:rPr>
          <w:rFonts w:ascii="Avant Garde" w:hAnsi="Avant Garde"/>
          <w:sz w:val="22"/>
          <w:szCs w:val="22"/>
        </w:rPr>
      </w:pPr>
      <w:r>
        <w:rPr>
          <w:rFonts w:ascii="Avant Garde" w:hAnsi="Avant Garde"/>
          <w:sz w:val="22"/>
          <w:szCs w:val="22"/>
        </w:rPr>
        <w:tab/>
      </w:r>
      <w:r w:rsidRPr="00F0262E">
        <w:rPr>
          <w:rFonts w:ascii="Avant Garde" w:hAnsi="Avant Garde"/>
          <w:sz w:val="22"/>
          <w:szCs w:val="22"/>
        </w:rPr>
        <w:t>Bajo esta premisa, y atentos a que el texto integrado de la Ley de Seguridad Social para el Estado de Guanajuato original, mas sus cinco decretos de reforma, si bien han permitido la actualización del ordenamiento jurídico, se ha perdido orden en la secuencia del texto normativo, por ello, se propone una estructura integrada por seis t</w:t>
      </w:r>
      <w:r w:rsidRPr="00F0262E">
        <w:rPr>
          <w:rFonts w:ascii="Avant Garde" w:hAnsi="Avant Garde" w:hint="eastAsia"/>
          <w:sz w:val="22"/>
          <w:szCs w:val="22"/>
        </w:rPr>
        <w:t>í</w:t>
      </w:r>
      <w:r w:rsidRPr="00F0262E">
        <w:rPr>
          <w:rFonts w:ascii="Avant Garde" w:hAnsi="Avant Garde"/>
          <w:sz w:val="22"/>
          <w:szCs w:val="22"/>
        </w:rPr>
        <w:t>tulos, diecis</w:t>
      </w:r>
      <w:r w:rsidRPr="00F0262E">
        <w:rPr>
          <w:rFonts w:ascii="Avant Garde" w:hAnsi="Avant Garde" w:hint="eastAsia"/>
          <w:sz w:val="22"/>
          <w:szCs w:val="22"/>
        </w:rPr>
        <w:t>é</w:t>
      </w:r>
      <w:r w:rsidRPr="00F0262E">
        <w:rPr>
          <w:rFonts w:ascii="Avant Garde" w:hAnsi="Avant Garde"/>
          <w:sz w:val="22"/>
          <w:szCs w:val="22"/>
        </w:rPr>
        <w:t>is cap</w:t>
      </w:r>
      <w:r w:rsidRPr="00F0262E">
        <w:rPr>
          <w:rFonts w:ascii="Avant Garde" w:hAnsi="Avant Garde" w:hint="eastAsia"/>
          <w:sz w:val="22"/>
          <w:szCs w:val="22"/>
        </w:rPr>
        <w:t>í</w:t>
      </w:r>
      <w:r w:rsidRPr="00F0262E">
        <w:rPr>
          <w:rFonts w:ascii="Avant Garde" w:hAnsi="Avant Garde"/>
          <w:sz w:val="22"/>
          <w:szCs w:val="22"/>
        </w:rPr>
        <w:t>tulos, diecisiete secciones y 146 art</w:t>
      </w:r>
      <w:r w:rsidRPr="00F0262E">
        <w:rPr>
          <w:rFonts w:ascii="Avant Garde" w:hAnsi="Avant Garde" w:hint="eastAsia"/>
          <w:sz w:val="22"/>
          <w:szCs w:val="22"/>
        </w:rPr>
        <w:t>í</w:t>
      </w:r>
      <w:r w:rsidRPr="00F0262E">
        <w:rPr>
          <w:rFonts w:ascii="Avant Garde" w:hAnsi="Avant Garde"/>
          <w:sz w:val="22"/>
          <w:szCs w:val="22"/>
        </w:rPr>
        <w:t>culos.</w:t>
      </w:r>
      <w:r>
        <w:rPr>
          <w:rFonts w:ascii="Century Gothic" w:hAnsi="Century Gothic"/>
          <w:sz w:val="22"/>
          <w:szCs w:val="22"/>
        </w:rPr>
        <w:t>»</w:t>
      </w:r>
    </w:p>
    <w:p w:rsidR="002331AE" w:rsidRDefault="002331AE" w:rsidP="00633BC3">
      <w:pPr>
        <w:widowControl w:val="0"/>
        <w:jc w:val="both"/>
        <w:rPr>
          <w:rFonts w:ascii="Verdana" w:eastAsia="SimSun" w:hAnsi="Verdana"/>
          <w:b/>
          <w:bCs/>
          <w:sz w:val="20"/>
          <w:szCs w:val="20"/>
        </w:rPr>
      </w:pPr>
    </w:p>
    <w:p w:rsidR="0014445A" w:rsidRPr="00633BC3" w:rsidRDefault="0014445A" w:rsidP="00633BC3">
      <w:pPr>
        <w:widowControl w:val="0"/>
        <w:jc w:val="both"/>
        <w:rPr>
          <w:rFonts w:ascii="Avant Garde" w:hAnsi="Avant Garde"/>
          <w:sz w:val="22"/>
          <w:szCs w:val="22"/>
        </w:rPr>
      </w:pPr>
      <w:r>
        <w:rPr>
          <w:rFonts w:ascii="Verdana" w:eastAsia="SimSun" w:hAnsi="Verdana"/>
          <w:b/>
          <w:bCs/>
          <w:sz w:val="20"/>
          <w:szCs w:val="20"/>
        </w:rPr>
        <w:tab/>
      </w:r>
      <w:r w:rsidRPr="00633BC3">
        <w:rPr>
          <w:rFonts w:ascii="Avant Garde" w:hAnsi="Avant Garde"/>
          <w:sz w:val="22"/>
          <w:szCs w:val="22"/>
        </w:rPr>
        <w:t>Por lo que toca a la segunda de las iniciativas, el diputado iniciante refiere a los riesgos de una crisis e</w:t>
      </w:r>
      <w:r w:rsidR="001C427B">
        <w:rPr>
          <w:rFonts w:ascii="Avant Garde" w:hAnsi="Avant Garde"/>
          <w:sz w:val="22"/>
          <w:szCs w:val="22"/>
        </w:rPr>
        <w:t>n los sistemas de pensiones que</w:t>
      </w:r>
      <w:r w:rsidRPr="00633BC3">
        <w:rPr>
          <w:rFonts w:ascii="Avant Garde" w:hAnsi="Avant Garde"/>
          <w:sz w:val="22"/>
          <w:szCs w:val="22"/>
        </w:rPr>
        <w:t xml:space="preserve"> advierte el Foro Económico Mundial, ante la creciente longevidad de los humanos y propone </w:t>
      </w:r>
      <w:r w:rsidR="00633BC3" w:rsidRPr="00633BC3">
        <w:rPr>
          <w:rFonts w:ascii="Avant Garde" w:hAnsi="Avant Garde"/>
          <w:sz w:val="22"/>
          <w:szCs w:val="22"/>
        </w:rPr>
        <w:t xml:space="preserve">la adición de disposiciones que buscan </w:t>
      </w:r>
      <w:r w:rsidRPr="00633BC3">
        <w:rPr>
          <w:rFonts w:ascii="Avant Garde" w:hAnsi="Avant Garde"/>
          <w:sz w:val="22"/>
          <w:szCs w:val="22"/>
        </w:rPr>
        <w:t>«</w:t>
      </w:r>
      <w:r w:rsidR="00633BC3" w:rsidRPr="00633BC3">
        <w:rPr>
          <w:rFonts w:ascii="Avant Garde" w:hAnsi="Avant Garde"/>
          <w:sz w:val="22"/>
          <w:szCs w:val="22"/>
        </w:rPr>
        <w:t xml:space="preserve">…por medio de incentivos económicos extraordinarios, que los pensionados consideren el hecho de trabajar por más años. De esta manera, se podrá retrasar la edad de jubilación en el Estado y así realizar una medida preventiva </w:t>
      </w:r>
      <w:r w:rsidR="001A68CF" w:rsidRPr="00633BC3">
        <w:rPr>
          <w:rFonts w:ascii="Avant Garde" w:hAnsi="Avant Garde"/>
          <w:sz w:val="22"/>
          <w:szCs w:val="22"/>
        </w:rPr>
        <w:t>para</w:t>
      </w:r>
      <w:r w:rsidR="00633BC3" w:rsidRPr="00633BC3">
        <w:rPr>
          <w:rFonts w:ascii="Avant Garde" w:hAnsi="Avant Garde"/>
          <w:sz w:val="22"/>
          <w:szCs w:val="22"/>
        </w:rPr>
        <w:t xml:space="preserve"> poder evitar una crisis futura en los pagos.» Advierte un colapso de nuestro sistema de pensiones y propone «…un modelo que a la vez, permita el ahorro de la erogación contemplada en el sistema de pensiones y también, que incremente el monto de la jubilación mensual de los pensionados y jubilados que hayan ingresado antes del 1° de octubre del año 2002, sin que este incremento signifique un</w:t>
      </w:r>
      <w:r w:rsidR="001C427B">
        <w:rPr>
          <w:rFonts w:ascii="Avant Garde" w:hAnsi="Avant Garde"/>
          <w:sz w:val="22"/>
          <w:szCs w:val="22"/>
        </w:rPr>
        <w:t>a</w:t>
      </w:r>
      <w:r w:rsidR="00633BC3" w:rsidRPr="00633BC3">
        <w:rPr>
          <w:rFonts w:ascii="Avant Garde" w:hAnsi="Avant Garde"/>
          <w:sz w:val="22"/>
          <w:szCs w:val="22"/>
        </w:rPr>
        <w:t xml:space="preserve"> carga financiera para los actuales trabajadores del Estado de Guanajuato, buscando su sostenibilidad y sustentabilidad futuras.» </w:t>
      </w:r>
    </w:p>
    <w:p w:rsidR="0014445A" w:rsidRDefault="0014445A" w:rsidP="00932EC4">
      <w:pPr>
        <w:pStyle w:val="Textoindependiente"/>
        <w:spacing w:line="360" w:lineRule="auto"/>
        <w:rPr>
          <w:rFonts w:ascii="Verdana" w:eastAsia="SimSun" w:hAnsi="Verdana"/>
          <w:b/>
          <w:bCs/>
          <w:sz w:val="20"/>
          <w:szCs w:val="20"/>
        </w:rPr>
      </w:pPr>
    </w:p>
    <w:p w:rsidR="009D4F58" w:rsidRPr="009D4F58" w:rsidRDefault="009D4F58" w:rsidP="009D4F58">
      <w:pPr>
        <w:widowControl w:val="0"/>
        <w:jc w:val="both"/>
        <w:rPr>
          <w:rFonts w:ascii="Avant Garde" w:hAnsi="Avant Garde"/>
          <w:b/>
          <w:sz w:val="22"/>
          <w:szCs w:val="22"/>
        </w:rPr>
      </w:pPr>
      <w:r w:rsidRPr="009D4F58">
        <w:rPr>
          <w:rFonts w:ascii="Avant Garde" w:hAnsi="Avant Garde"/>
          <w:b/>
          <w:sz w:val="22"/>
          <w:szCs w:val="22"/>
        </w:rPr>
        <w:t>III.</w:t>
      </w:r>
      <w:r w:rsidRPr="009D4F58">
        <w:rPr>
          <w:rFonts w:ascii="Avant Garde" w:hAnsi="Avant Garde"/>
          <w:b/>
          <w:sz w:val="22"/>
          <w:szCs w:val="22"/>
        </w:rPr>
        <w:tab/>
        <w:t>Opiniones en relación a las iniciativas.</w:t>
      </w:r>
    </w:p>
    <w:p w:rsidR="009D4F58" w:rsidRPr="009D4F58" w:rsidRDefault="009D4F58" w:rsidP="009D4F58">
      <w:pPr>
        <w:widowControl w:val="0"/>
        <w:jc w:val="both"/>
        <w:rPr>
          <w:rFonts w:ascii="Avant Garde" w:hAnsi="Avant Garde"/>
          <w:sz w:val="22"/>
          <w:szCs w:val="22"/>
        </w:rPr>
      </w:pPr>
    </w:p>
    <w:p w:rsidR="009D4F58" w:rsidRPr="009D4F58" w:rsidRDefault="009D4F58" w:rsidP="009D4F58">
      <w:pPr>
        <w:widowControl w:val="0"/>
        <w:jc w:val="both"/>
        <w:rPr>
          <w:rFonts w:ascii="Avant Garde" w:hAnsi="Avant Garde"/>
          <w:sz w:val="22"/>
          <w:szCs w:val="22"/>
        </w:rPr>
      </w:pPr>
      <w:r w:rsidRPr="009D4F58">
        <w:rPr>
          <w:rFonts w:ascii="Avant Garde" w:hAnsi="Avant Garde"/>
          <w:sz w:val="22"/>
          <w:szCs w:val="22"/>
        </w:rPr>
        <w:tab/>
        <w:t>Cabe destaca que el Instituto de Investigaciones Legislativas de este Congreso del Estado, emitió su opinión por escrito en los términos que le fue solicitado.</w:t>
      </w:r>
      <w:r>
        <w:rPr>
          <w:rFonts w:ascii="Avant Garde" w:hAnsi="Avant Garde"/>
          <w:sz w:val="22"/>
          <w:szCs w:val="22"/>
        </w:rPr>
        <w:t xml:space="preserve"> </w:t>
      </w:r>
      <w:r w:rsidRPr="009D4F58">
        <w:rPr>
          <w:rFonts w:ascii="Avant Garde" w:hAnsi="Avant Garde"/>
          <w:sz w:val="22"/>
          <w:szCs w:val="22"/>
        </w:rPr>
        <w:t xml:space="preserve">El Instituto, en su opinión, y con relación a la iniciativa de Ley, retoma tópicos de la seguridad social, expuestos con motivos de una diversa iniciativa en esta materia, desde el contexto internacional, y el marco constitucional, para continuar con el análisis de la iniciativa de Ley de Seguridad Social del Estado de Guanajuato en los siguientes aspectos: Sobre las Disposiciones Generales; Glosario; Supuestos del Régimen de Seguridad Social; Seguro de riesgos de trabajo; Seguro de Invalidez; Seguro de vejez; Seguro por jubilación, Prestaciones; Fondo especial y solidario; Prohibición de prestaciones adicionales; Préstamos personales; Restructuración a través de convenio modificatorio de los préstamos personales; Obligado solidario; Disposiciones especiales; Órganos del Instituto de Seguridad </w:t>
      </w:r>
      <w:r w:rsidRPr="009D4F58">
        <w:rPr>
          <w:rFonts w:ascii="Avant Garde" w:hAnsi="Avant Garde"/>
          <w:sz w:val="22"/>
          <w:szCs w:val="22"/>
        </w:rPr>
        <w:lastRenderedPageBreak/>
        <w:t xml:space="preserve">Social del Estado de Guanajuato; y Perfil profesional del Director General. Por lo que respecta, a la segunda de las iniciativas que propone la adición de diversos artículos, el Instituto también realiza el análisis correspondiente. </w:t>
      </w:r>
    </w:p>
    <w:p w:rsidR="009D4F58" w:rsidRPr="009D4F58" w:rsidRDefault="009D4F58" w:rsidP="009D4F58">
      <w:pPr>
        <w:widowControl w:val="0"/>
        <w:jc w:val="both"/>
        <w:rPr>
          <w:rFonts w:ascii="Avant Garde" w:hAnsi="Avant Garde"/>
          <w:sz w:val="22"/>
          <w:szCs w:val="22"/>
        </w:rPr>
      </w:pPr>
    </w:p>
    <w:p w:rsidR="009D4F58" w:rsidRPr="009D4F58" w:rsidRDefault="009D4F58" w:rsidP="009D4F58">
      <w:pPr>
        <w:widowControl w:val="0"/>
        <w:ind w:firstLine="708"/>
        <w:jc w:val="both"/>
        <w:rPr>
          <w:rFonts w:ascii="Avant Garde" w:hAnsi="Avant Garde"/>
          <w:sz w:val="22"/>
          <w:szCs w:val="22"/>
        </w:rPr>
      </w:pPr>
      <w:r w:rsidRPr="009D4F58">
        <w:rPr>
          <w:rFonts w:ascii="Avant Garde" w:hAnsi="Avant Garde"/>
          <w:sz w:val="22"/>
          <w:szCs w:val="22"/>
        </w:rPr>
        <w:t>Finalmente, realiza una síntesis general de las</w:t>
      </w:r>
      <w:r>
        <w:rPr>
          <w:rFonts w:ascii="Avant Garde" w:hAnsi="Avant Garde"/>
          <w:sz w:val="22"/>
          <w:szCs w:val="22"/>
        </w:rPr>
        <w:t xml:space="preserve"> dos </w:t>
      </w:r>
      <w:r w:rsidRPr="009D4F58">
        <w:rPr>
          <w:rFonts w:ascii="Avant Garde" w:hAnsi="Avant Garde"/>
          <w:sz w:val="22"/>
          <w:szCs w:val="22"/>
        </w:rPr>
        <w:t>iniciativas en los siguientes términos:</w:t>
      </w:r>
    </w:p>
    <w:p w:rsidR="009D4F58" w:rsidRDefault="009D4F58" w:rsidP="009D4F58">
      <w:pPr>
        <w:spacing w:line="360" w:lineRule="auto"/>
        <w:ind w:firstLine="708"/>
        <w:jc w:val="both"/>
        <w:rPr>
          <w:rFonts w:ascii="Verdana" w:hAnsi="Verdana"/>
          <w:b/>
          <w:sz w:val="20"/>
          <w:szCs w:val="20"/>
        </w:rPr>
      </w:pPr>
    </w:p>
    <w:p w:rsidR="009D4F58" w:rsidRPr="00A57B38" w:rsidRDefault="00A57B38" w:rsidP="00A57B38">
      <w:pPr>
        <w:autoSpaceDE w:val="0"/>
        <w:autoSpaceDN w:val="0"/>
        <w:adjustRightInd w:val="0"/>
        <w:jc w:val="both"/>
        <w:rPr>
          <w:rFonts w:ascii="Avant Garde" w:hAnsi="Avant Garde"/>
          <w:sz w:val="22"/>
          <w:szCs w:val="22"/>
        </w:rPr>
      </w:pPr>
      <w:r>
        <w:rPr>
          <w:rFonts w:ascii="Arial" w:hAnsi="Arial" w:cs="Arial"/>
          <w:sz w:val="28"/>
          <w:szCs w:val="28"/>
          <w:lang w:eastAsia="es-MX"/>
        </w:rPr>
        <w:tab/>
      </w:r>
      <w:r w:rsidRPr="00A57B38">
        <w:rPr>
          <w:rFonts w:ascii="Avant Garde" w:hAnsi="Avant Garde"/>
          <w:sz w:val="22"/>
          <w:szCs w:val="22"/>
        </w:rPr>
        <w:t>«</w:t>
      </w:r>
      <w:r w:rsidR="009D4F58" w:rsidRPr="00A57B38">
        <w:rPr>
          <w:rFonts w:ascii="Avant Garde" w:hAnsi="Avant Garde"/>
          <w:sz w:val="22"/>
          <w:szCs w:val="22"/>
        </w:rPr>
        <w:t>En atención a las condiciones expuestas a lo largo de la presente opinión, se observan condiciones para que en forma general subsistan la iniciativa formulada por el Gobernador Constitucional del Estado de Guanajuato, para la «Ley de Seguridad Social del Estado de Guanajuato», por las razones comentadas en el análisis respectivo, pues son perfectamente compatibles con las condiciones de nuestra actualidad para salvaguardar los presupuestos generales de seguridad social que le corresponde al Estado, a través de su Instituto de Seguridad Social,  pues del estudio de la normatividad propuesta no se desprende implicaciones que conlleven una acciones contrarias a la protección de los derechos humanos, en especial, los se seguridad social.</w:t>
      </w:r>
    </w:p>
    <w:p w:rsidR="009D4F58" w:rsidRPr="00A57B38" w:rsidRDefault="009D4F58" w:rsidP="00A57B38">
      <w:pPr>
        <w:widowControl w:val="0"/>
        <w:ind w:firstLine="708"/>
        <w:jc w:val="both"/>
        <w:rPr>
          <w:rFonts w:ascii="Avant Garde" w:hAnsi="Avant Garde"/>
          <w:sz w:val="22"/>
          <w:szCs w:val="22"/>
        </w:rPr>
      </w:pPr>
    </w:p>
    <w:p w:rsidR="009D4F58" w:rsidRPr="00A57B38" w:rsidRDefault="009D4F58" w:rsidP="00A57B38">
      <w:pPr>
        <w:widowControl w:val="0"/>
        <w:ind w:firstLine="708"/>
        <w:jc w:val="both"/>
        <w:rPr>
          <w:rFonts w:ascii="Avant Garde" w:hAnsi="Avant Garde"/>
          <w:sz w:val="22"/>
          <w:szCs w:val="22"/>
        </w:rPr>
      </w:pPr>
      <w:r w:rsidRPr="00A57B38">
        <w:rPr>
          <w:rFonts w:ascii="Avant Garde" w:hAnsi="Avant Garde"/>
          <w:sz w:val="22"/>
          <w:szCs w:val="22"/>
        </w:rPr>
        <w:t>Del estudio de la iniciativa de Reforma para Adición de diversos artículos a la Ley de Seguridad Social del Estado de Guanajuato, formulada por la Representación Parlamentaria del Partido Nueva Alianza, por lo que corresponde al supuesto de la adición del artículo 18 bis de la iniciativa, no se observa incompatibilidad para complementar los supuestos que ya se encuentran regulados en los artículos 20 y 21 de la Ley de Seguridad Social del Estado de Guanajuato, máxime si se establece la posibilidad de que sea bajo previa cotización a cargo del Instituto de Seguridad Social, para que los asegurados observen su beneficio y cargo de aportación, con aras de que el asegurado pueda obtener en un futuro un monto mayor por la prestación de jubilación.</w:t>
      </w:r>
      <w:r w:rsidR="00A57B38">
        <w:rPr>
          <w:rFonts w:ascii="Century Gothic" w:hAnsi="Century Gothic"/>
          <w:sz w:val="22"/>
          <w:szCs w:val="22"/>
        </w:rPr>
        <w:t>»</w:t>
      </w:r>
    </w:p>
    <w:p w:rsidR="009D4F58" w:rsidRPr="00A57B38" w:rsidRDefault="009D4F58" w:rsidP="00A57B38">
      <w:pPr>
        <w:widowControl w:val="0"/>
        <w:ind w:firstLine="708"/>
        <w:jc w:val="both"/>
        <w:rPr>
          <w:rFonts w:ascii="Avant Garde" w:hAnsi="Avant Garde"/>
          <w:sz w:val="22"/>
          <w:szCs w:val="22"/>
        </w:rPr>
      </w:pPr>
    </w:p>
    <w:p w:rsidR="004A5602" w:rsidRPr="004A5602" w:rsidRDefault="00A57B38" w:rsidP="004A5602">
      <w:pPr>
        <w:widowControl w:val="0"/>
        <w:ind w:firstLine="708"/>
        <w:jc w:val="both"/>
        <w:rPr>
          <w:rFonts w:ascii="Avant Garde" w:hAnsi="Avant Garde"/>
          <w:sz w:val="22"/>
          <w:szCs w:val="22"/>
        </w:rPr>
      </w:pPr>
      <w:r w:rsidRPr="004A5602">
        <w:rPr>
          <w:rFonts w:ascii="Avant Garde" w:hAnsi="Avant Garde"/>
          <w:sz w:val="22"/>
          <w:szCs w:val="22"/>
        </w:rPr>
        <w:t>Por su parte, la Unidad de Estudios de las Finanzas Públicas, realiza un estudio desde los antecedentes, sus consideraciones y su opinión final: «</w:t>
      </w:r>
      <w:r w:rsidR="004A5602" w:rsidRPr="004A5602">
        <w:rPr>
          <w:rFonts w:ascii="Avant Garde" w:hAnsi="Avant Garde"/>
          <w:sz w:val="22"/>
          <w:szCs w:val="22"/>
        </w:rPr>
        <w:t>…es evidente que las propuestas de iniciativas están orientadas a</w:t>
      </w:r>
      <w:r w:rsidR="001C427B">
        <w:rPr>
          <w:rFonts w:ascii="Avant Garde" w:hAnsi="Avant Garde"/>
          <w:sz w:val="22"/>
          <w:szCs w:val="22"/>
        </w:rPr>
        <w:t>l</w:t>
      </w:r>
      <w:r w:rsidR="004A5602" w:rsidRPr="004A5602">
        <w:rPr>
          <w:rFonts w:ascii="Avant Garde" w:hAnsi="Avant Garde"/>
          <w:sz w:val="22"/>
          <w:szCs w:val="22"/>
        </w:rPr>
        <w:t xml:space="preserve"> fortalecimiento del fondo mediante la profesionalización de los organismos auxiliares y de la incorporación de elementos técnicos que permitan dar mayor flexibilidad al proceso de administración de los recursos del fondo.</w:t>
      </w:r>
      <w:r w:rsidR="001C427B">
        <w:rPr>
          <w:rFonts w:ascii="Century Gothic" w:hAnsi="Century Gothic"/>
          <w:sz w:val="22"/>
          <w:szCs w:val="22"/>
        </w:rPr>
        <w:t>»</w:t>
      </w:r>
    </w:p>
    <w:p w:rsidR="001C427B" w:rsidRDefault="001C427B" w:rsidP="004A5602">
      <w:pPr>
        <w:widowControl w:val="0"/>
        <w:ind w:firstLine="708"/>
        <w:jc w:val="both"/>
        <w:rPr>
          <w:rFonts w:ascii="Avant Garde" w:hAnsi="Avant Garde"/>
          <w:sz w:val="22"/>
          <w:szCs w:val="22"/>
        </w:rPr>
      </w:pPr>
    </w:p>
    <w:p w:rsidR="004A5602" w:rsidRPr="004A5602" w:rsidRDefault="001C427B" w:rsidP="004A5602">
      <w:pPr>
        <w:widowControl w:val="0"/>
        <w:ind w:firstLine="708"/>
        <w:jc w:val="both"/>
        <w:rPr>
          <w:rFonts w:ascii="Avant Garde" w:hAnsi="Avant Garde"/>
          <w:sz w:val="22"/>
          <w:szCs w:val="22"/>
        </w:rPr>
      </w:pPr>
      <w:r>
        <w:rPr>
          <w:rFonts w:ascii="Avant Garde" w:hAnsi="Avant Garde"/>
          <w:sz w:val="22"/>
          <w:szCs w:val="22"/>
        </w:rPr>
        <w:t xml:space="preserve">Expone que: </w:t>
      </w:r>
      <w:r>
        <w:rPr>
          <w:rFonts w:ascii="Century Gothic" w:hAnsi="Century Gothic"/>
          <w:sz w:val="22"/>
          <w:szCs w:val="22"/>
        </w:rPr>
        <w:t>«</w:t>
      </w:r>
      <w:r w:rsidR="004A5602" w:rsidRPr="004A5602">
        <w:rPr>
          <w:rFonts w:ascii="Avant Garde" w:hAnsi="Avant Garde"/>
          <w:sz w:val="22"/>
          <w:szCs w:val="22"/>
        </w:rPr>
        <w:t>Evidentemente la fortaleza del fondo debe ser prioritario y que son los trabajadores los que se ven afectados en caso de la toma de decisiones incorrectas, por lo que el deberá asumirse que las medidas para incrementar y proteger el fondo deben ser respaldadas con la participación de sus representantes.</w:t>
      </w:r>
      <w:r>
        <w:rPr>
          <w:rFonts w:ascii="Century Gothic" w:hAnsi="Century Gothic"/>
          <w:sz w:val="22"/>
          <w:szCs w:val="22"/>
        </w:rPr>
        <w:t>»</w:t>
      </w:r>
    </w:p>
    <w:p w:rsidR="004A5602" w:rsidRPr="004A5602" w:rsidRDefault="004A5602" w:rsidP="004A5602">
      <w:pPr>
        <w:widowControl w:val="0"/>
        <w:ind w:firstLine="708"/>
        <w:jc w:val="both"/>
        <w:rPr>
          <w:rFonts w:ascii="Avant Garde" w:hAnsi="Avant Garde"/>
          <w:sz w:val="22"/>
          <w:szCs w:val="22"/>
        </w:rPr>
      </w:pPr>
    </w:p>
    <w:p w:rsidR="009D4F58" w:rsidRPr="004A5602" w:rsidRDefault="001C427B" w:rsidP="004A5602">
      <w:pPr>
        <w:widowControl w:val="0"/>
        <w:ind w:firstLine="708"/>
        <w:jc w:val="both"/>
        <w:rPr>
          <w:rFonts w:ascii="Avant Garde" w:hAnsi="Avant Garde"/>
          <w:sz w:val="22"/>
          <w:szCs w:val="22"/>
        </w:rPr>
      </w:pPr>
      <w:r>
        <w:rPr>
          <w:rFonts w:ascii="Avant Garde" w:hAnsi="Avant Garde"/>
          <w:sz w:val="22"/>
          <w:szCs w:val="22"/>
        </w:rPr>
        <w:t xml:space="preserve">Además de que: </w:t>
      </w:r>
      <w:r>
        <w:rPr>
          <w:rFonts w:ascii="Century Gothic" w:hAnsi="Century Gothic"/>
          <w:sz w:val="22"/>
          <w:szCs w:val="22"/>
        </w:rPr>
        <w:t>«</w:t>
      </w:r>
      <w:r w:rsidR="004A5602" w:rsidRPr="004A5602">
        <w:rPr>
          <w:rFonts w:ascii="Avant Garde" w:hAnsi="Avant Garde"/>
          <w:sz w:val="22"/>
          <w:szCs w:val="22"/>
        </w:rPr>
        <w:t>Es recomendable que los cambios que sean aprobados se sujeten a una evaluación al amparo de un nuevo estudio actuarial que identifique el efecto en el crecimiento de la vida del fondo para atender las pensiones y jubilaciones de los trabajadores del estado.</w:t>
      </w:r>
      <w:r w:rsidR="00A57B38" w:rsidRPr="004A5602">
        <w:rPr>
          <w:rFonts w:ascii="Avant Garde" w:hAnsi="Avant Garde"/>
          <w:sz w:val="22"/>
          <w:szCs w:val="22"/>
        </w:rPr>
        <w:t>»</w:t>
      </w:r>
    </w:p>
    <w:p w:rsidR="009D4F58" w:rsidRDefault="009D4F58" w:rsidP="00AC25A9">
      <w:pPr>
        <w:widowControl w:val="0"/>
        <w:ind w:firstLine="708"/>
        <w:jc w:val="both"/>
        <w:rPr>
          <w:rFonts w:ascii="Avant Garde" w:hAnsi="Avant Garde"/>
          <w:sz w:val="22"/>
          <w:szCs w:val="22"/>
        </w:rPr>
      </w:pPr>
      <w:r w:rsidRPr="004A5602">
        <w:rPr>
          <w:rFonts w:ascii="Avant Garde" w:hAnsi="Avant Garde"/>
          <w:sz w:val="22"/>
          <w:szCs w:val="22"/>
        </w:rPr>
        <w:tab/>
      </w:r>
    </w:p>
    <w:p w:rsidR="009C74EC" w:rsidRPr="00AC25A9" w:rsidRDefault="009C74EC" w:rsidP="00AC25A9">
      <w:pPr>
        <w:widowControl w:val="0"/>
        <w:jc w:val="both"/>
        <w:rPr>
          <w:rFonts w:ascii="Avant Garde" w:hAnsi="Avant Garde"/>
          <w:b/>
          <w:sz w:val="22"/>
          <w:szCs w:val="22"/>
        </w:rPr>
      </w:pPr>
      <w:r w:rsidRPr="00AC25A9">
        <w:rPr>
          <w:rFonts w:ascii="Avant Garde" w:hAnsi="Avant Garde"/>
          <w:b/>
          <w:sz w:val="22"/>
          <w:szCs w:val="22"/>
        </w:rPr>
        <w:t>IV.</w:t>
      </w:r>
      <w:r w:rsidRPr="00AC25A9">
        <w:rPr>
          <w:rFonts w:ascii="Avant Garde" w:hAnsi="Avant Garde"/>
          <w:b/>
          <w:sz w:val="22"/>
          <w:szCs w:val="22"/>
        </w:rPr>
        <w:tab/>
        <w:t xml:space="preserve">Consideraciones. </w:t>
      </w:r>
    </w:p>
    <w:p w:rsidR="009C74EC" w:rsidRPr="00AC25A9" w:rsidRDefault="009C74EC" w:rsidP="00AC25A9">
      <w:pPr>
        <w:widowControl w:val="0"/>
        <w:jc w:val="both"/>
        <w:rPr>
          <w:rFonts w:ascii="Avant Garde" w:hAnsi="Avant Garde"/>
          <w:b/>
          <w:sz w:val="22"/>
          <w:szCs w:val="22"/>
        </w:rPr>
      </w:pPr>
    </w:p>
    <w:p w:rsidR="009C74EC" w:rsidRPr="005D3E35" w:rsidRDefault="009C74EC" w:rsidP="005D3E35">
      <w:pPr>
        <w:widowControl w:val="0"/>
        <w:ind w:firstLine="708"/>
        <w:jc w:val="both"/>
        <w:rPr>
          <w:rFonts w:ascii="Avant Garde" w:hAnsi="Avant Garde"/>
          <w:sz w:val="22"/>
          <w:szCs w:val="22"/>
        </w:rPr>
      </w:pPr>
      <w:r w:rsidRPr="005D3E35">
        <w:rPr>
          <w:rFonts w:ascii="Avant Garde" w:hAnsi="Avant Garde"/>
          <w:sz w:val="22"/>
          <w:szCs w:val="22"/>
        </w:rPr>
        <w:t xml:space="preserve">La Comisión dictaminadora </w:t>
      </w:r>
      <w:r w:rsidR="005D3E35" w:rsidRPr="005D3E35">
        <w:rPr>
          <w:rFonts w:ascii="Avant Garde" w:hAnsi="Avant Garde"/>
          <w:sz w:val="22"/>
          <w:szCs w:val="22"/>
        </w:rPr>
        <w:t>analizó las opiniones de las áreas del Congreso a quienes se les solicitó</w:t>
      </w:r>
      <w:r w:rsidR="001C427B">
        <w:rPr>
          <w:rFonts w:ascii="Avant Garde" w:hAnsi="Avant Garde"/>
          <w:sz w:val="22"/>
          <w:szCs w:val="22"/>
        </w:rPr>
        <w:t>,</w:t>
      </w:r>
      <w:r w:rsidR="005D3E35" w:rsidRPr="005D3E35">
        <w:rPr>
          <w:rFonts w:ascii="Avant Garde" w:hAnsi="Avant Garde"/>
          <w:sz w:val="22"/>
          <w:szCs w:val="22"/>
        </w:rPr>
        <w:t xml:space="preserve"> como parte de la metodología de trabajo, esto es, al Instituto de Investigaciones Legislativas y a la Unidad de Estudios de las Finanzas Públicas. </w:t>
      </w:r>
    </w:p>
    <w:p w:rsidR="005D3E35" w:rsidRPr="005D3E35" w:rsidRDefault="005D3E35" w:rsidP="005D3E35">
      <w:pPr>
        <w:widowControl w:val="0"/>
        <w:ind w:firstLine="708"/>
        <w:jc w:val="both"/>
        <w:rPr>
          <w:rFonts w:ascii="Avant Garde" w:hAnsi="Avant Garde"/>
          <w:sz w:val="22"/>
          <w:szCs w:val="22"/>
        </w:rPr>
      </w:pPr>
    </w:p>
    <w:p w:rsidR="005D3E35" w:rsidRDefault="005D3E35" w:rsidP="005D3E35">
      <w:pPr>
        <w:widowControl w:val="0"/>
        <w:ind w:firstLine="708"/>
        <w:jc w:val="both"/>
        <w:rPr>
          <w:rFonts w:ascii="Avant Garde" w:hAnsi="Avant Garde"/>
          <w:sz w:val="22"/>
          <w:szCs w:val="22"/>
        </w:rPr>
      </w:pPr>
      <w:r w:rsidRPr="005D3E35">
        <w:rPr>
          <w:rFonts w:ascii="Avant Garde" w:hAnsi="Avant Garde"/>
          <w:sz w:val="22"/>
          <w:szCs w:val="22"/>
        </w:rPr>
        <w:t xml:space="preserve">Estas opiniones y, los comentarios y observaciones que se formularon durante el análisis de las iniciativas, de quienes participaron en las tres mesas de trabajo, </w:t>
      </w:r>
      <w:r w:rsidR="001D3ECE" w:rsidRPr="005D3E35">
        <w:rPr>
          <w:rFonts w:ascii="Avant Garde" w:hAnsi="Avant Garde"/>
          <w:sz w:val="22"/>
          <w:szCs w:val="22"/>
        </w:rPr>
        <w:t xml:space="preserve">fueron sumamente importantes para que </w:t>
      </w:r>
      <w:r w:rsidRPr="005D3E35">
        <w:rPr>
          <w:rFonts w:ascii="Avant Garde" w:hAnsi="Avant Garde"/>
          <w:sz w:val="22"/>
          <w:szCs w:val="22"/>
        </w:rPr>
        <w:t xml:space="preserve">este ejercicio, permitiera obtener una </w:t>
      </w:r>
      <w:r w:rsidR="001D3ECE" w:rsidRPr="005D3E35">
        <w:rPr>
          <w:rFonts w:ascii="Avant Garde" w:hAnsi="Avant Garde"/>
          <w:sz w:val="22"/>
          <w:szCs w:val="22"/>
        </w:rPr>
        <w:t xml:space="preserve">conclusión </w:t>
      </w:r>
      <w:r w:rsidRPr="005D3E35">
        <w:rPr>
          <w:rFonts w:ascii="Avant Garde" w:hAnsi="Avant Garde"/>
          <w:sz w:val="22"/>
          <w:szCs w:val="22"/>
        </w:rPr>
        <w:t xml:space="preserve">para efectos del </w:t>
      </w:r>
      <w:r w:rsidR="002331AE">
        <w:rPr>
          <w:rFonts w:ascii="Avant Garde" w:hAnsi="Avant Garde"/>
          <w:sz w:val="22"/>
          <w:szCs w:val="22"/>
        </w:rPr>
        <w:t xml:space="preserve">presente </w:t>
      </w:r>
      <w:r w:rsidRPr="005D3E35">
        <w:rPr>
          <w:rFonts w:ascii="Avant Garde" w:hAnsi="Avant Garde"/>
          <w:sz w:val="22"/>
          <w:szCs w:val="22"/>
        </w:rPr>
        <w:t>dictamen.</w:t>
      </w:r>
    </w:p>
    <w:p w:rsidR="0072417E" w:rsidRDefault="0072417E" w:rsidP="005D3E35">
      <w:pPr>
        <w:widowControl w:val="0"/>
        <w:ind w:firstLine="708"/>
        <w:jc w:val="both"/>
        <w:rPr>
          <w:rFonts w:ascii="Avant Garde" w:hAnsi="Avant Garde"/>
          <w:sz w:val="22"/>
          <w:szCs w:val="22"/>
        </w:rPr>
      </w:pPr>
    </w:p>
    <w:p w:rsidR="0072417E" w:rsidRDefault="0072417E" w:rsidP="005D3E35">
      <w:pPr>
        <w:widowControl w:val="0"/>
        <w:ind w:firstLine="708"/>
        <w:jc w:val="both"/>
        <w:rPr>
          <w:rFonts w:ascii="Avant Garde" w:hAnsi="Avant Garde"/>
          <w:sz w:val="22"/>
          <w:szCs w:val="22"/>
        </w:rPr>
      </w:pPr>
      <w:r>
        <w:rPr>
          <w:rFonts w:ascii="Avant Garde" w:hAnsi="Avant Garde"/>
          <w:sz w:val="22"/>
          <w:szCs w:val="22"/>
        </w:rPr>
        <w:t>Cabe señalar que se tomó como punto de partida para el análisis de las iniciativas, la presentada por el Gobernador del Estado, por tratase de una propuesta para una nueva ley, lo que conllevaría necesariamente</w:t>
      </w:r>
      <w:r w:rsidR="001C427B">
        <w:rPr>
          <w:rFonts w:ascii="Avant Garde" w:hAnsi="Avant Garde"/>
          <w:sz w:val="22"/>
          <w:szCs w:val="22"/>
        </w:rPr>
        <w:t xml:space="preserve"> de ser aprobada, la </w:t>
      </w:r>
      <w:r>
        <w:rPr>
          <w:rFonts w:ascii="Avant Garde" w:hAnsi="Avant Garde"/>
          <w:sz w:val="22"/>
          <w:szCs w:val="22"/>
        </w:rPr>
        <w:t xml:space="preserve">abrogación de la ley que se pretendió adicionar con la iniciativa presentada por el </w:t>
      </w:r>
      <w:r w:rsidR="001C427B">
        <w:rPr>
          <w:rFonts w:ascii="Avant Garde" w:hAnsi="Avant Garde"/>
          <w:sz w:val="22"/>
          <w:szCs w:val="22"/>
        </w:rPr>
        <w:t xml:space="preserve">diputado Alejandro Trejo Ávila. </w:t>
      </w:r>
      <w:r w:rsidR="0018748A">
        <w:rPr>
          <w:rFonts w:ascii="Avant Garde" w:hAnsi="Avant Garde"/>
          <w:sz w:val="22"/>
          <w:szCs w:val="22"/>
        </w:rPr>
        <w:t>Pero,</w:t>
      </w:r>
      <w:r w:rsidR="001C427B">
        <w:rPr>
          <w:rFonts w:ascii="Avant Garde" w:hAnsi="Avant Garde"/>
          <w:sz w:val="22"/>
          <w:szCs w:val="22"/>
        </w:rPr>
        <w:t xml:space="preserve"> además, el diputado iniciante, </w:t>
      </w:r>
      <w:r>
        <w:rPr>
          <w:rFonts w:ascii="Avant Garde" w:hAnsi="Avant Garde"/>
          <w:sz w:val="22"/>
          <w:szCs w:val="22"/>
        </w:rPr>
        <w:t>con su participación activa durante todo el proceso de dictaminación dio muestras de la intención de que se emitiera una nueva ley. No obstante, en dicho proceso se tuvieron a la vista ambas propuestas.</w:t>
      </w:r>
    </w:p>
    <w:p w:rsidR="0072417E" w:rsidRDefault="0072417E" w:rsidP="005D3E35">
      <w:pPr>
        <w:widowControl w:val="0"/>
        <w:ind w:firstLine="708"/>
        <w:jc w:val="both"/>
        <w:rPr>
          <w:rFonts w:ascii="Avant Garde" w:hAnsi="Avant Garde"/>
          <w:sz w:val="22"/>
          <w:szCs w:val="22"/>
        </w:rPr>
      </w:pPr>
    </w:p>
    <w:p w:rsidR="00B047F9" w:rsidRPr="005D3E35" w:rsidRDefault="0072417E" w:rsidP="00B047F9">
      <w:pPr>
        <w:widowControl w:val="0"/>
        <w:ind w:firstLine="708"/>
        <w:jc w:val="both"/>
        <w:rPr>
          <w:rFonts w:ascii="Avant Garde" w:hAnsi="Avant Garde"/>
          <w:sz w:val="22"/>
          <w:szCs w:val="22"/>
        </w:rPr>
      </w:pPr>
      <w:r>
        <w:rPr>
          <w:rFonts w:ascii="Avant Garde" w:hAnsi="Avant Garde"/>
          <w:sz w:val="22"/>
          <w:szCs w:val="22"/>
        </w:rPr>
        <w:t>Asimismo, es preciso s</w:t>
      </w:r>
      <w:r w:rsidR="00B047F9" w:rsidRPr="005D3E35">
        <w:rPr>
          <w:rFonts w:ascii="Avant Garde" w:hAnsi="Avant Garde"/>
          <w:sz w:val="22"/>
          <w:szCs w:val="22"/>
        </w:rPr>
        <w:t>eñalar que, en términos generales se respetaron las propuestas principales contenidas en la iniciativa formulada por el Gobernador del Estado.</w:t>
      </w:r>
    </w:p>
    <w:p w:rsidR="00B047F9" w:rsidRPr="00B047F9" w:rsidRDefault="00B047F9" w:rsidP="00B047F9">
      <w:pPr>
        <w:widowControl w:val="0"/>
        <w:ind w:firstLine="708"/>
        <w:jc w:val="both"/>
        <w:rPr>
          <w:rFonts w:ascii="Avant Garde" w:hAnsi="Avant Garde"/>
          <w:sz w:val="22"/>
          <w:szCs w:val="22"/>
        </w:rPr>
      </w:pPr>
    </w:p>
    <w:p w:rsidR="002331AE" w:rsidRDefault="00C7507C" w:rsidP="00B047F9">
      <w:pPr>
        <w:widowControl w:val="0"/>
        <w:ind w:firstLine="708"/>
        <w:jc w:val="both"/>
        <w:rPr>
          <w:rFonts w:ascii="Avant Garde" w:hAnsi="Avant Garde"/>
          <w:sz w:val="22"/>
          <w:szCs w:val="22"/>
        </w:rPr>
      </w:pPr>
      <w:r>
        <w:rPr>
          <w:rFonts w:ascii="Avant Garde" w:hAnsi="Avant Garde"/>
          <w:sz w:val="22"/>
          <w:szCs w:val="22"/>
        </w:rPr>
        <w:t>E</w:t>
      </w:r>
      <w:r w:rsidR="005D3E35" w:rsidRPr="00B047F9">
        <w:rPr>
          <w:rFonts w:ascii="Avant Garde" w:hAnsi="Avant Garde"/>
          <w:sz w:val="22"/>
          <w:szCs w:val="22"/>
        </w:rPr>
        <w:t>stamos conscientes</w:t>
      </w:r>
      <w:r w:rsidR="00607CC3" w:rsidRPr="00B047F9">
        <w:rPr>
          <w:rFonts w:ascii="Avant Garde" w:hAnsi="Avant Garde"/>
          <w:sz w:val="22"/>
          <w:szCs w:val="22"/>
        </w:rPr>
        <w:t xml:space="preserve"> que</w:t>
      </w:r>
      <w:r w:rsidR="005D3E35" w:rsidRPr="00B047F9">
        <w:rPr>
          <w:rFonts w:ascii="Avant Garde" w:hAnsi="Avant Garde"/>
          <w:sz w:val="22"/>
          <w:szCs w:val="22"/>
        </w:rPr>
        <w:t xml:space="preserve"> la viabilidad financiera del Instituto debe ser revisada periódicamente, tan es así que dicha obligación quedó plasmada en la ley que se abroga. Ello hace necesario, </w:t>
      </w:r>
      <w:r w:rsidR="00607CC3" w:rsidRPr="00B047F9">
        <w:rPr>
          <w:rFonts w:ascii="Avant Garde" w:hAnsi="Avant Garde"/>
          <w:sz w:val="22"/>
          <w:szCs w:val="22"/>
        </w:rPr>
        <w:t xml:space="preserve">no sólo procurar las reformas necesarias, sino llevar a cabo modificaciones de manera integral al ordenamiento, con una nueva ley, para garantizar </w:t>
      </w:r>
      <w:r w:rsidR="00B047F9" w:rsidRPr="00B047F9">
        <w:rPr>
          <w:rFonts w:ascii="Avant Garde" w:hAnsi="Avant Garde"/>
          <w:sz w:val="22"/>
          <w:szCs w:val="22"/>
        </w:rPr>
        <w:t>un ordenamiento completo y sistem</w:t>
      </w:r>
      <w:r>
        <w:rPr>
          <w:rFonts w:ascii="Avant Garde" w:hAnsi="Avant Garde"/>
          <w:sz w:val="22"/>
          <w:szCs w:val="22"/>
        </w:rPr>
        <w:t xml:space="preserve">ático, como es el caso de </w:t>
      </w:r>
      <w:r w:rsidR="002331AE">
        <w:rPr>
          <w:rFonts w:ascii="Avant Garde" w:hAnsi="Avant Garde"/>
          <w:sz w:val="22"/>
          <w:szCs w:val="22"/>
        </w:rPr>
        <w:t>la nueva Ley que se propone.</w:t>
      </w:r>
    </w:p>
    <w:p w:rsidR="002331AE" w:rsidRDefault="002331AE" w:rsidP="00B047F9">
      <w:pPr>
        <w:widowControl w:val="0"/>
        <w:ind w:firstLine="708"/>
        <w:jc w:val="both"/>
        <w:rPr>
          <w:rFonts w:ascii="Avant Garde" w:hAnsi="Avant Garde"/>
          <w:sz w:val="22"/>
          <w:szCs w:val="22"/>
        </w:rPr>
      </w:pPr>
    </w:p>
    <w:p w:rsidR="001C427B" w:rsidRDefault="002331AE" w:rsidP="005E0317">
      <w:pPr>
        <w:widowControl w:val="0"/>
        <w:ind w:firstLine="708"/>
        <w:jc w:val="both"/>
        <w:rPr>
          <w:rFonts w:ascii="Avant Garde" w:hAnsi="Avant Garde"/>
          <w:sz w:val="22"/>
          <w:szCs w:val="22"/>
        </w:rPr>
      </w:pPr>
      <w:r>
        <w:rPr>
          <w:rFonts w:ascii="Avant Garde" w:hAnsi="Avant Garde"/>
          <w:sz w:val="22"/>
          <w:szCs w:val="22"/>
        </w:rPr>
        <w:t>De manera paralela al tema de la viabilidad del Instituto de Seguridad Social, son los derechos de los trabajadores que cotizan en un régim</w:t>
      </w:r>
      <w:r w:rsidR="0026467B">
        <w:rPr>
          <w:rFonts w:ascii="Avant Garde" w:hAnsi="Avant Garde"/>
          <w:sz w:val="22"/>
          <w:szCs w:val="22"/>
        </w:rPr>
        <w:t xml:space="preserve">en de seguridad social. </w:t>
      </w:r>
    </w:p>
    <w:p w:rsidR="0026467B" w:rsidRPr="005E0317" w:rsidRDefault="0026467B" w:rsidP="005E0317">
      <w:pPr>
        <w:widowControl w:val="0"/>
        <w:ind w:firstLine="708"/>
        <w:jc w:val="both"/>
        <w:rPr>
          <w:rFonts w:ascii="Avant Garde" w:hAnsi="Avant Garde"/>
          <w:sz w:val="22"/>
          <w:szCs w:val="22"/>
        </w:rPr>
      </w:pPr>
      <w:r>
        <w:rPr>
          <w:rFonts w:ascii="Avant Garde" w:hAnsi="Avant Garde"/>
          <w:sz w:val="22"/>
          <w:szCs w:val="22"/>
        </w:rPr>
        <w:lastRenderedPageBreak/>
        <w:t xml:space="preserve">Reiteramos, como se hizo en 2002 con </w:t>
      </w:r>
      <w:r w:rsidR="00F312C4">
        <w:rPr>
          <w:rFonts w:ascii="Avant Garde" w:hAnsi="Avant Garde"/>
          <w:sz w:val="22"/>
          <w:szCs w:val="22"/>
        </w:rPr>
        <w:t xml:space="preserve">la expedición de </w:t>
      </w:r>
      <w:r>
        <w:rPr>
          <w:rFonts w:ascii="Avant Garde" w:hAnsi="Avant Garde"/>
          <w:sz w:val="22"/>
          <w:szCs w:val="22"/>
        </w:rPr>
        <w:t xml:space="preserve">la ley vigente, </w:t>
      </w:r>
      <w:r w:rsidR="001D3ECE" w:rsidRPr="005E0317">
        <w:rPr>
          <w:rFonts w:ascii="Avant Garde" w:hAnsi="Avant Garde"/>
          <w:sz w:val="22"/>
          <w:szCs w:val="22"/>
        </w:rPr>
        <w:t xml:space="preserve">la característica de irretroactividad que tendrá la aplicación de la nueva Ley. </w:t>
      </w:r>
    </w:p>
    <w:p w:rsidR="0026467B" w:rsidRPr="005E0317" w:rsidRDefault="0026467B" w:rsidP="005E0317">
      <w:pPr>
        <w:widowControl w:val="0"/>
        <w:ind w:firstLine="708"/>
        <w:jc w:val="both"/>
        <w:rPr>
          <w:rFonts w:ascii="Avant Garde" w:hAnsi="Avant Garde"/>
          <w:sz w:val="22"/>
          <w:szCs w:val="22"/>
        </w:rPr>
      </w:pPr>
    </w:p>
    <w:p w:rsidR="008340EF" w:rsidRDefault="0026467B" w:rsidP="0026467B">
      <w:pPr>
        <w:widowControl w:val="0"/>
        <w:ind w:firstLine="708"/>
        <w:jc w:val="both"/>
        <w:rPr>
          <w:rFonts w:ascii="Avant Garde" w:hAnsi="Avant Garde"/>
          <w:sz w:val="22"/>
          <w:szCs w:val="22"/>
        </w:rPr>
      </w:pPr>
      <w:r w:rsidRPr="005E0317">
        <w:rPr>
          <w:rFonts w:ascii="Avant Garde" w:hAnsi="Avant Garde"/>
          <w:sz w:val="22"/>
          <w:szCs w:val="22"/>
        </w:rPr>
        <w:t>Dejamos patente que con la expedición de esta nueva Ley n</w:t>
      </w:r>
      <w:r w:rsidR="001D3ECE" w:rsidRPr="005E0317">
        <w:rPr>
          <w:rFonts w:ascii="Avant Garde" w:hAnsi="Avant Garde"/>
          <w:sz w:val="22"/>
          <w:szCs w:val="22"/>
        </w:rPr>
        <w:t>o se afecta ninguno de los derechos adquiridos por los actuales asegurados o pensionados</w:t>
      </w:r>
      <w:r w:rsidR="008340EF">
        <w:rPr>
          <w:rFonts w:ascii="Avant Garde" w:hAnsi="Avant Garde"/>
          <w:sz w:val="22"/>
          <w:szCs w:val="22"/>
        </w:rPr>
        <w:t xml:space="preserve">. </w:t>
      </w:r>
    </w:p>
    <w:p w:rsidR="008340EF" w:rsidRDefault="008340EF" w:rsidP="0026467B">
      <w:pPr>
        <w:widowControl w:val="0"/>
        <w:ind w:firstLine="708"/>
        <w:jc w:val="both"/>
        <w:rPr>
          <w:rFonts w:ascii="Avant Garde" w:hAnsi="Avant Garde"/>
          <w:sz w:val="22"/>
          <w:szCs w:val="22"/>
        </w:rPr>
      </w:pPr>
    </w:p>
    <w:p w:rsidR="008340EF" w:rsidRDefault="000D5650" w:rsidP="0026467B">
      <w:pPr>
        <w:widowControl w:val="0"/>
        <w:ind w:firstLine="708"/>
        <w:jc w:val="both"/>
        <w:rPr>
          <w:rFonts w:ascii="Avant Garde" w:hAnsi="Avant Garde"/>
          <w:sz w:val="22"/>
          <w:szCs w:val="22"/>
        </w:rPr>
      </w:pPr>
      <w:r>
        <w:rPr>
          <w:rFonts w:ascii="Avant Garde" w:hAnsi="Avant Garde"/>
          <w:sz w:val="22"/>
          <w:szCs w:val="22"/>
        </w:rPr>
        <w:t xml:space="preserve">Ante las diversas inquietudes expuestas en los trabajos de dictaminación y, ante los propios argumentos </w:t>
      </w:r>
      <w:r w:rsidR="001C427B">
        <w:rPr>
          <w:rFonts w:ascii="Avant Garde" w:hAnsi="Avant Garde"/>
          <w:sz w:val="22"/>
          <w:szCs w:val="22"/>
        </w:rPr>
        <w:t xml:space="preserve">expuestos por </w:t>
      </w:r>
      <w:r>
        <w:rPr>
          <w:rFonts w:ascii="Avant Garde" w:hAnsi="Avant Garde"/>
          <w:sz w:val="22"/>
          <w:szCs w:val="22"/>
        </w:rPr>
        <w:t>los representantes del iniciante</w:t>
      </w:r>
      <w:r w:rsidR="001C427B">
        <w:rPr>
          <w:rFonts w:ascii="Avant Garde" w:hAnsi="Avant Garde"/>
          <w:sz w:val="22"/>
          <w:szCs w:val="22"/>
        </w:rPr>
        <w:t xml:space="preserve"> sobre dichas inquietudes, </w:t>
      </w:r>
      <w:r>
        <w:rPr>
          <w:rFonts w:ascii="Avant Garde" w:hAnsi="Avant Garde"/>
          <w:sz w:val="22"/>
          <w:szCs w:val="22"/>
        </w:rPr>
        <w:t>tenemos que, con esta nueva Ley t</w:t>
      </w:r>
      <w:r w:rsidR="00F312C4" w:rsidRPr="005E0317">
        <w:rPr>
          <w:rFonts w:ascii="Avant Garde" w:hAnsi="Avant Garde"/>
          <w:sz w:val="22"/>
          <w:szCs w:val="22"/>
        </w:rPr>
        <w:t xml:space="preserve">endremos </w:t>
      </w:r>
      <w:r w:rsidR="0026467B" w:rsidRPr="005E0317">
        <w:rPr>
          <w:rFonts w:ascii="Avant Garde" w:hAnsi="Avant Garde"/>
          <w:sz w:val="22"/>
          <w:szCs w:val="22"/>
        </w:rPr>
        <w:t>dos grandes grupos</w:t>
      </w:r>
      <w:r>
        <w:rPr>
          <w:rFonts w:ascii="Avant Garde" w:hAnsi="Avant Garde"/>
          <w:sz w:val="22"/>
          <w:szCs w:val="22"/>
        </w:rPr>
        <w:t>: uno</w:t>
      </w:r>
      <w:r w:rsidR="0026467B" w:rsidRPr="005E0317">
        <w:rPr>
          <w:rFonts w:ascii="Avant Garde" w:hAnsi="Avant Garde"/>
          <w:sz w:val="22"/>
          <w:szCs w:val="22"/>
        </w:rPr>
        <w:t>,</w:t>
      </w:r>
      <w:r>
        <w:rPr>
          <w:rFonts w:ascii="Avant Garde" w:hAnsi="Avant Garde"/>
          <w:sz w:val="22"/>
          <w:szCs w:val="22"/>
        </w:rPr>
        <w:t xml:space="preserve"> para los que </w:t>
      </w:r>
      <w:r w:rsidR="0026467B" w:rsidRPr="005E0317">
        <w:rPr>
          <w:rFonts w:ascii="Avant Garde" w:hAnsi="Avant Garde"/>
          <w:sz w:val="22"/>
          <w:szCs w:val="22"/>
        </w:rPr>
        <w:t xml:space="preserve">vienen cotizando bajo un régimen de seguridad social específico, </w:t>
      </w:r>
      <w:r w:rsidR="00F312C4" w:rsidRPr="005E0317">
        <w:rPr>
          <w:rFonts w:ascii="Avant Garde" w:hAnsi="Avant Garde"/>
          <w:sz w:val="22"/>
          <w:szCs w:val="22"/>
        </w:rPr>
        <w:t xml:space="preserve">amparado por la Ley de Seguridad Social contenida en el Decreto Número 165 de la Quincuagésima Tercera Legislatura del Congreso del Estado de Guanajuato, publicado en el Periódico Oficial del Gobierno del Estado Número 9, Segunda Parte, de fecha 29 de enero de 1988, </w:t>
      </w:r>
      <w:r w:rsidR="005E0317">
        <w:rPr>
          <w:rFonts w:ascii="Avant Garde" w:hAnsi="Avant Garde"/>
          <w:sz w:val="22"/>
          <w:szCs w:val="22"/>
        </w:rPr>
        <w:t>quienes conservarán todos sus derechos adquiridos bajo el régimen de dicha ley, ya que</w:t>
      </w:r>
      <w:r w:rsidR="00AC25A9">
        <w:rPr>
          <w:rFonts w:ascii="Avant Garde" w:hAnsi="Avant Garde"/>
          <w:sz w:val="22"/>
          <w:szCs w:val="22"/>
        </w:rPr>
        <w:t>,</w:t>
      </w:r>
      <w:r w:rsidR="005E0317">
        <w:rPr>
          <w:rFonts w:ascii="Avant Garde" w:hAnsi="Avant Garde"/>
          <w:sz w:val="22"/>
          <w:szCs w:val="22"/>
        </w:rPr>
        <w:t xml:space="preserve"> ante las modificaciones sustanciales que se realizaron </w:t>
      </w:r>
      <w:r w:rsidR="008340EF">
        <w:rPr>
          <w:rFonts w:ascii="Avant Garde" w:hAnsi="Avant Garde"/>
          <w:sz w:val="22"/>
          <w:szCs w:val="22"/>
        </w:rPr>
        <w:t xml:space="preserve">en el 2002 </w:t>
      </w:r>
      <w:r w:rsidR="005E0317">
        <w:rPr>
          <w:rFonts w:ascii="Avant Garde" w:hAnsi="Avant Garde"/>
          <w:sz w:val="22"/>
          <w:szCs w:val="22"/>
        </w:rPr>
        <w:t>quedaron protegidos</w:t>
      </w:r>
      <w:r w:rsidR="008340EF">
        <w:rPr>
          <w:rFonts w:ascii="Avant Garde" w:hAnsi="Avant Garde"/>
          <w:sz w:val="22"/>
          <w:szCs w:val="22"/>
        </w:rPr>
        <w:t xml:space="preserve"> a través de norma transitoria:</w:t>
      </w:r>
    </w:p>
    <w:p w:rsidR="008340EF" w:rsidRDefault="008340EF" w:rsidP="0026467B">
      <w:pPr>
        <w:widowControl w:val="0"/>
        <w:ind w:firstLine="708"/>
        <w:jc w:val="both"/>
        <w:rPr>
          <w:rFonts w:ascii="Avant Garde" w:hAnsi="Avant Garde"/>
          <w:sz w:val="22"/>
          <w:szCs w:val="22"/>
        </w:rPr>
      </w:pPr>
    </w:p>
    <w:p w:rsidR="008340EF" w:rsidRDefault="008340EF" w:rsidP="008340EF">
      <w:pPr>
        <w:widowControl w:val="0"/>
        <w:ind w:left="708" w:firstLine="708"/>
        <w:jc w:val="both"/>
        <w:rPr>
          <w:rFonts w:ascii="Century Gothic" w:hAnsi="Century Gothic"/>
          <w:sz w:val="18"/>
          <w:szCs w:val="18"/>
        </w:rPr>
      </w:pPr>
      <w:r>
        <w:rPr>
          <w:rFonts w:ascii="Century Gothic" w:hAnsi="Century Gothic"/>
          <w:sz w:val="18"/>
          <w:szCs w:val="18"/>
        </w:rPr>
        <w:t>«</w:t>
      </w:r>
      <w:r w:rsidRPr="008340EF">
        <w:rPr>
          <w:rFonts w:ascii="Avant Garde" w:hAnsi="Avant Garde"/>
          <w:sz w:val="18"/>
          <w:szCs w:val="18"/>
        </w:rPr>
        <w:t>Artículo Noveno. Los asegurados inscritos con anterioridad a la entrada en vigor de esta Ley, así como sus beneficiarios, conservarán los derechos previstos en la Ley que se abroga en cuanto a lo que resulte más favorable de sus intereses.</w:t>
      </w:r>
      <w:r>
        <w:rPr>
          <w:rFonts w:ascii="Century Gothic" w:hAnsi="Century Gothic"/>
          <w:sz w:val="18"/>
          <w:szCs w:val="18"/>
        </w:rPr>
        <w:t>»</w:t>
      </w:r>
    </w:p>
    <w:p w:rsidR="008340EF" w:rsidRDefault="008340EF" w:rsidP="008340EF">
      <w:pPr>
        <w:widowControl w:val="0"/>
        <w:ind w:left="708" w:firstLine="708"/>
        <w:jc w:val="both"/>
        <w:rPr>
          <w:rFonts w:ascii="Century Gothic" w:hAnsi="Century Gothic"/>
          <w:sz w:val="18"/>
          <w:szCs w:val="18"/>
        </w:rPr>
      </w:pPr>
    </w:p>
    <w:p w:rsidR="00F33CB1" w:rsidRPr="008D1F35" w:rsidRDefault="00AC25A9" w:rsidP="008D1F35">
      <w:pPr>
        <w:suppressAutoHyphens/>
        <w:ind w:firstLine="708"/>
        <w:jc w:val="both"/>
        <w:rPr>
          <w:rFonts w:ascii="Avant Garde" w:hAnsi="Avant Garde"/>
          <w:sz w:val="22"/>
          <w:szCs w:val="22"/>
        </w:rPr>
      </w:pPr>
      <w:r>
        <w:rPr>
          <w:rFonts w:ascii="Avant Garde" w:hAnsi="Avant Garde"/>
          <w:sz w:val="22"/>
          <w:szCs w:val="22"/>
        </w:rPr>
        <w:t xml:space="preserve">Reiteramos, en </w:t>
      </w:r>
      <w:r w:rsidRPr="00AC25A9">
        <w:rPr>
          <w:rFonts w:ascii="Avant Garde" w:hAnsi="Avant Garde"/>
          <w:sz w:val="22"/>
          <w:szCs w:val="22"/>
        </w:rPr>
        <w:t>ningún caso habrá aplicación retroactiva que lesione derechos adquiridos</w:t>
      </w:r>
      <w:r>
        <w:rPr>
          <w:rFonts w:ascii="Avant Garde" w:hAnsi="Avant Garde"/>
          <w:sz w:val="22"/>
          <w:szCs w:val="22"/>
        </w:rPr>
        <w:t>, sobre todo para obtener la pensi</w:t>
      </w:r>
      <w:r w:rsidR="00F33CB1">
        <w:rPr>
          <w:rFonts w:ascii="Avant Garde" w:hAnsi="Avant Garde"/>
          <w:sz w:val="22"/>
          <w:szCs w:val="22"/>
        </w:rPr>
        <w:t xml:space="preserve">ón jubilatoria, para </w:t>
      </w:r>
      <w:r w:rsidR="008D1F35">
        <w:rPr>
          <w:rFonts w:ascii="Avant Garde" w:hAnsi="Avant Garde"/>
          <w:sz w:val="22"/>
          <w:szCs w:val="22"/>
        </w:rPr>
        <w:t>quienes</w:t>
      </w:r>
      <w:r w:rsidR="00F33CB1">
        <w:rPr>
          <w:rFonts w:ascii="Avant Garde" w:hAnsi="Avant Garde"/>
          <w:sz w:val="22"/>
          <w:szCs w:val="22"/>
        </w:rPr>
        <w:t xml:space="preserve"> vienen cotizando antes de la ley vigente</w:t>
      </w:r>
      <w:r w:rsidR="008D1F35">
        <w:rPr>
          <w:rFonts w:ascii="Avant Garde" w:hAnsi="Avant Garde"/>
          <w:sz w:val="22"/>
          <w:szCs w:val="22"/>
        </w:rPr>
        <w:t xml:space="preserve">, </w:t>
      </w:r>
      <w:r w:rsidR="00777536">
        <w:rPr>
          <w:rFonts w:ascii="Avant Garde" w:hAnsi="Avant Garde"/>
          <w:sz w:val="22"/>
          <w:szCs w:val="22"/>
        </w:rPr>
        <w:t xml:space="preserve">para quienes </w:t>
      </w:r>
      <w:r w:rsidR="008D1F35">
        <w:rPr>
          <w:rFonts w:ascii="Avant Garde" w:hAnsi="Avant Garde"/>
          <w:sz w:val="22"/>
          <w:szCs w:val="22"/>
        </w:rPr>
        <w:t xml:space="preserve">les </w:t>
      </w:r>
      <w:r w:rsidR="00F33CB1" w:rsidRPr="008D1F35">
        <w:rPr>
          <w:rFonts w:ascii="Avant Garde" w:hAnsi="Avant Garde"/>
          <w:sz w:val="22"/>
          <w:szCs w:val="22"/>
        </w:rPr>
        <w:t>seguirá siendo aplicable su derecho a jubilarse sólo como efecto de su antigüedad en el trabajo sin considerar su edad</w:t>
      </w:r>
      <w:r w:rsidR="00777536">
        <w:rPr>
          <w:rFonts w:ascii="Avant Garde" w:hAnsi="Avant Garde"/>
          <w:sz w:val="22"/>
          <w:szCs w:val="22"/>
        </w:rPr>
        <w:t xml:space="preserve">; </w:t>
      </w:r>
      <w:r w:rsidR="00463D82">
        <w:rPr>
          <w:rFonts w:ascii="Avant Garde" w:hAnsi="Avant Garde"/>
          <w:sz w:val="22"/>
          <w:szCs w:val="22"/>
        </w:rPr>
        <w:t xml:space="preserve">así como </w:t>
      </w:r>
      <w:r w:rsidR="00777536">
        <w:rPr>
          <w:rFonts w:ascii="Avant Garde" w:hAnsi="Avant Garde"/>
          <w:sz w:val="22"/>
          <w:szCs w:val="22"/>
        </w:rPr>
        <w:t xml:space="preserve">para el </w:t>
      </w:r>
      <w:r w:rsidR="00463D82">
        <w:rPr>
          <w:rFonts w:ascii="Avant Garde" w:hAnsi="Avant Garde"/>
          <w:sz w:val="22"/>
          <w:szCs w:val="22"/>
        </w:rPr>
        <w:t>cálculo del importe de las pensiones</w:t>
      </w:r>
      <w:r w:rsidR="0018748A">
        <w:rPr>
          <w:rFonts w:ascii="Avant Garde" w:hAnsi="Avant Garde"/>
          <w:sz w:val="22"/>
          <w:szCs w:val="22"/>
        </w:rPr>
        <w:t>, entre otros derechos</w:t>
      </w:r>
      <w:r w:rsidR="00F33CB1" w:rsidRPr="008D1F35">
        <w:rPr>
          <w:rFonts w:ascii="Avant Garde" w:hAnsi="Avant Garde"/>
          <w:sz w:val="22"/>
          <w:szCs w:val="22"/>
        </w:rPr>
        <w:t>.</w:t>
      </w:r>
    </w:p>
    <w:p w:rsidR="00AC25A9" w:rsidRDefault="00AC25A9" w:rsidP="008D1F35">
      <w:pPr>
        <w:suppressAutoHyphens/>
        <w:ind w:firstLine="708"/>
        <w:jc w:val="both"/>
        <w:rPr>
          <w:rFonts w:ascii="Avant Garde" w:hAnsi="Avant Garde"/>
          <w:sz w:val="22"/>
          <w:szCs w:val="22"/>
        </w:rPr>
      </w:pPr>
    </w:p>
    <w:p w:rsidR="00AC25A9" w:rsidRDefault="008340EF" w:rsidP="0026467B">
      <w:pPr>
        <w:widowControl w:val="0"/>
        <w:ind w:firstLine="708"/>
        <w:jc w:val="both"/>
        <w:rPr>
          <w:rFonts w:ascii="Avant Garde" w:hAnsi="Avant Garde"/>
          <w:sz w:val="22"/>
          <w:szCs w:val="22"/>
        </w:rPr>
      </w:pPr>
      <w:r>
        <w:rPr>
          <w:rFonts w:ascii="Avant Garde" w:hAnsi="Avant Garde"/>
          <w:sz w:val="22"/>
          <w:szCs w:val="22"/>
        </w:rPr>
        <w:t xml:space="preserve">El otro grupo de trabajadores son los que </w:t>
      </w:r>
      <w:r w:rsidR="00AC25A9">
        <w:rPr>
          <w:rFonts w:ascii="Avant Garde" w:hAnsi="Avant Garde"/>
          <w:sz w:val="22"/>
          <w:szCs w:val="22"/>
        </w:rPr>
        <w:t>se afiliaron al Instituto bajo la vigencia de la ley que quedará abrogada con la aprobación del presente dictamen.</w:t>
      </w:r>
    </w:p>
    <w:p w:rsidR="00AC25A9" w:rsidRDefault="00AC25A9" w:rsidP="0026467B">
      <w:pPr>
        <w:widowControl w:val="0"/>
        <w:ind w:firstLine="708"/>
        <w:jc w:val="both"/>
        <w:rPr>
          <w:rFonts w:ascii="Avant Garde" w:hAnsi="Avant Garde"/>
          <w:sz w:val="22"/>
          <w:szCs w:val="22"/>
        </w:rPr>
      </w:pPr>
    </w:p>
    <w:p w:rsidR="00F33CB1" w:rsidRPr="00F33CB1" w:rsidRDefault="00AC25A9" w:rsidP="00F33CB1">
      <w:pPr>
        <w:widowControl w:val="0"/>
        <w:jc w:val="both"/>
        <w:rPr>
          <w:rFonts w:ascii="Avant Garde" w:hAnsi="Avant Garde"/>
          <w:b/>
          <w:sz w:val="22"/>
          <w:szCs w:val="22"/>
        </w:rPr>
      </w:pPr>
      <w:r w:rsidRPr="00F33CB1">
        <w:rPr>
          <w:rFonts w:ascii="Avant Garde" w:hAnsi="Avant Garde"/>
          <w:b/>
          <w:sz w:val="22"/>
          <w:szCs w:val="22"/>
        </w:rPr>
        <w:t>V.</w:t>
      </w:r>
      <w:r w:rsidRPr="00F33CB1">
        <w:rPr>
          <w:rFonts w:ascii="Avant Garde" w:hAnsi="Avant Garde"/>
          <w:b/>
          <w:sz w:val="22"/>
          <w:szCs w:val="22"/>
        </w:rPr>
        <w:tab/>
      </w:r>
      <w:r w:rsidR="00F33CB1" w:rsidRPr="00F33CB1">
        <w:rPr>
          <w:rFonts w:ascii="Avant Garde" w:hAnsi="Avant Garde"/>
          <w:b/>
          <w:sz w:val="22"/>
          <w:szCs w:val="22"/>
        </w:rPr>
        <w:t>Consideraciones particulares.</w:t>
      </w:r>
    </w:p>
    <w:p w:rsidR="00F33CB1" w:rsidRDefault="00F33CB1" w:rsidP="00AC25A9">
      <w:pPr>
        <w:suppressAutoHyphens/>
        <w:jc w:val="both"/>
        <w:rPr>
          <w:rFonts w:ascii="Avant Garde" w:hAnsi="Avant Garde"/>
          <w:sz w:val="22"/>
          <w:szCs w:val="22"/>
        </w:rPr>
      </w:pPr>
    </w:p>
    <w:p w:rsidR="008D1F35" w:rsidRDefault="00F33CB1" w:rsidP="008D1F35">
      <w:pPr>
        <w:widowControl w:val="0"/>
        <w:ind w:firstLine="708"/>
        <w:jc w:val="both"/>
        <w:rPr>
          <w:rFonts w:ascii="Avant Garde" w:hAnsi="Avant Garde"/>
          <w:sz w:val="22"/>
          <w:szCs w:val="22"/>
        </w:rPr>
      </w:pPr>
      <w:r w:rsidRPr="008D1F35">
        <w:rPr>
          <w:rFonts w:ascii="Avant Garde" w:hAnsi="Avant Garde"/>
          <w:sz w:val="22"/>
          <w:szCs w:val="22"/>
        </w:rPr>
        <w:t xml:space="preserve">Se realizaron modificaciones mínimas, con respecto a la iniciativa, para mejorar la puntuación, redacción o sintaxis de varios artículos, que no se considera necesario puntualizar </w:t>
      </w:r>
      <w:r w:rsidR="008D1F35">
        <w:rPr>
          <w:rFonts w:ascii="Avant Garde" w:hAnsi="Avant Garde"/>
          <w:sz w:val="22"/>
          <w:szCs w:val="22"/>
        </w:rPr>
        <w:t xml:space="preserve">en </w:t>
      </w:r>
      <w:r w:rsidRPr="008D1F35">
        <w:rPr>
          <w:rFonts w:ascii="Avant Garde" w:hAnsi="Avant Garde"/>
          <w:sz w:val="22"/>
          <w:szCs w:val="22"/>
        </w:rPr>
        <w:t>este dictamen. Solo destacamos aquellas que, en los trabajos de análisis de las iniciativas</w:t>
      </w:r>
      <w:r w:rsidR="008D1F35">
        <w:rPr>
          <w:rFonts w:ascii="Avant Garde" w:hAnsi="Avant Garde"/>
          <w:sz w:val="22"/>
          <w:szCs w:val="22"/>
        </w:rPr>
        <w:t>,</w:t>
      </w:r>
      <w:r w:rsidRPr="008D1F35">
        <w:rPr>
          <w:rFonts w:ascii="Avant Garde" w:hAnsi="Avant Garde"/>
          <w:sz w:val="22"/>
          <w:szCs w:val="22"/>
        </w:rPr>
        <w:t xml:space="preserve"> estimamos pertinente para </w:t>
      </w:r>
      <w:r w:rsidR="008D1F35">
        <w:rPr>
          <w:rFonts w:ascii="Avant Garde" w:hAnsi="Avant Garde"/>
          <w:sz w:val="22"/>
          <w:szCs w:val="22"/>
        </w:rPr>
        <w:t xml:space="preserve">dar </w:t>
      </w:r>
      <w:r w:rsidR="001D3ECE" w:rsidRPr="008D1F35">
        <w:rPr>
          <w:rFonts w:ascii="Avant Garde" w:hAnsi="Avant Garde"/>
          <w:sz w:val="22"/>
          <w:szCs w:val="22"/>
        </w:rPr>
        <w:t>mayor claridad</w:t>
      </w:r>
      <w:r w:rsidR="008D1F35">
        <w:rPr>
          <w:rFonts w:ascii="Avant Garde" w:hAnsi="Avant Garde"/>
          <w:sz w:val="22"/>
          <w:szCs w:val="22"/>
        </w:rPr>
        <w:t>.</w:t>
      </w:r>
    </w:p>
    <w:p w:rsidR="008D1F35" w:rsidRDefault="008D1F35" w:rsidP="008D1F35">
      <w:pPr>
        <w:widowControl w:val="0"/>
        <w:ind w:firstLine="708"/>
        <w:jc w:val="both"/>
        <w:rPr>
          <w:rFonts w:ascii="Avant Garde" w:hAnsi="Avant Garde"/>
          <w:sz w:val="22"/>
          <w:szCs w:val="22"/>
        </w:rPr>
      </w:pPr>
    </w:p>
    <w:p w:rsidR="00601056" w:rsidRDefault="008D1F35" w:rsidP="008D1F35">
      <w:pPr>
        <w:widowControl w:val="0"/>
        <w:ind w:firstLine="708"/>
        <w:jc w:val="both"/>
        <w:rPr>
          <w:rFonts w:ascii="Avant Garde" w:hAnsi="Avant Garde"/>
          <w:sz w:val="22"/>
          <w:szCs w:val="22"/>
        </w:rPr>
      </w:pPr>
      <w:r w:rsidRPr="008D1F35">
        <w:rPr>
          <w:rFonts w:ascii="Avant Garde" w:hAnsi="Avant Garde"/>
          <w:sz w:val="22"/>
          <w:szCs w:val="22"/>
        </w:rPr>
        <w:t xml:space="preserve">Dentro del Glosario de términos que son utilizados en la Ley, </w:t>
      </w:r>
      <w:r w:rsidR="00601056">
        <w:rPr>
          <w:rFonts w:ascii="Avant Garde" w:hAnsi="Avant Garde"/>
          <w:sz w:val="22"/>
          <w:szCs w:val="22"/>
        </w:rPr>
        <w:t xml:space="preserve">previsto en el </w:t>
      </w:r>
      <w:r w:rsidR="00601056">
        <w:rPr>
          <w:rFonts w:ascii="Avant Garde" w:hAnsi="Avant Garde"/>
          <w:sz w:val="22"/>
          <w:szCs w:val="22"/>
        </w:rPr>
        <w:lastRenderedPageBreak/>
        <w:t xml:space="preserve">artículo 3, se incluyó el de </w:t>
      </w:r>
      <w:r w:rsidR="00601056">
        <w:rPr>
          <w:rFonts w:ascii="Century Gothic" w:hAnsi="Century Gothic"/>
          <w:sz w:val="22"/>
          <w:szCs w:val="22"/>
        </w:rPr>
        <w:t>«</w:t>
      </w:r>
      <w:r w:rsidR="00601056">
        <w:rPr>
          <w:rFonts w:ascii="Avant Garde" w:hAnsi="Avant Garde"/>
          <w:sz w:val="22"/>
          <w:szCs w:val="22"/>
        </w:rPr>
        <w:t>días naturales</w:t>
      </w:r>
      <w:r w:rsidR="00601056">
        <w:rPr>
          <w:rFonts w:ascii="Century Gothic" w:hAnsi="Century Gothic"/>
          <w:sz w:val="22"/>
          <w:szCs w:val="22"/>
        </w:rPr>
        <w:t>»</w:t>
      </w:r>
      <w:r w:rsidR="00601056">
        <w:rPr>
          <w:rFonts w:ascii="Avant Garde" w:hAnsi="Avant Garde"/>
          <w:sz w:val="22"/>
          <w:szCs w:val="22"/>
        </w:rPr>
        <w:t>, término que, si bien no necesitaría mayor explicación, en el caso de esta Ley se hizo necesario ya que los términos se contemplan en días naturales y pudiera darse el caso de que el vencimiento de alguno de ellos fuera en día inhábil, lo que necesariamente se estaría recorriendo al día hábil siguiente, ante la inactividad del Instituto en días inhábiles.</w:t>
      </w:r>
    </w:p>
    <w:p w:rsidR="00601056" w:rsidRDefault="00601056" w:rsidP="008D1F35">
      <w:pPr>
        <w:widowControl w:val="0"/>
        <w:ind w:firstLine="708"/>
        <w:jc w:val="both"/>
        <w:rPr>
          <w:rFonts w:ascii="Avant Garde" w:hAnsi="Avant Garde"/>
          <w:sz w:val="22"/>
          <w:szCs w:val="22"/>
        </w:rPr>
      </w:pPr>
    </w:p>
    <w:p w:rsidR="008D1F35" w:rsidRPr="008D1F35" w:rsidRDefault="00601056" w:rsidP="008D1F35">
      <w:pPr>
        <w:widowControl w:val="0"/>
        <w:ind w:firstLine="708"/>
        <w:jc w:val="both"/>
        <w:rPr>
          <w:rFonts w:ascii="Avant Garde" w:hAnsi="Avant Garde"/>
          <w:sz w:val="22"/>
          <w:szCs w:val="22"/>
        </w:rPr>
      </w:pPr>
      <w:r>
        <w:rPr>
          <w:rFonts w:ascii="Avant Garde" w:hAnsi="Avant Garde"/>
          <w:sz w:val="22"/>
          <w:szCs w:val="22"/>
        </w:rPr>
        <w:t xml:space="preserve">  E</w:t>
      </w:r>
      <w:r w:rsidR="008D1F35" w:rsidRPr="008D1F35">
        <w:rPr>
          <w:rFonts w:ascii="Avant Garde" w:hAnsi="Avant Garde"/>
          <w:sz w:val="22"/>
          <w:szCs w:val="22"/>
        </w:rPr>
        <w:t>n la fracción XIV de</w:t>
      </w:r>
      <w:r>
        <w:rPr>
          <w:rFonts w:ascii="Avant Garde" w:hAnsi="Avant Garde"/>
          <w:sz w:val="22"/>
          <w:szCs w:val="22"/>
        </w:rPr>
        <w:t xml:space="preserve"> este mismo </w:t>
      </w:r>
      <w:r w:rsidR="008D1F35" w:rsidRPr="008D1F35">
        <w:rPr>
          <w:rFonts w:ascii="Avant Garde" w:hAnsi="Avant Garde"/>
          <w:sz w:val="22"/>
          <w:szCs w:val="22"/>
        </w:rPr>
        <w:t>artículo 3 se identifica como «Sujetos obligados» a «los Poderes, organismos constitucionales autónomos y en su caso, los municipios y sus entidades paramunicipales del estado de Guanajuato». En el entendido que con el concepto de «Poderes» se encuentra considerada cualquier entidad autónoma por ley, como es el caso de las entidades o figuras paraestatales que formal o materialmente pertenecen a la Administración Pública Estatal, esto es, al Poder Ejecutivo. Posteriormente se hace una puntual mención de que, en los casos de los municipios, pueden suscribir convenios tanto ellos, como las propias entidades paramunicipales.</w:t>
      </w:r>
    </w:p>
    <w:p w:rsidR="008D1F35" w:rsidRPr="008D1F35" w:rsidRDefault="008D1F35" w:rsidP="008D1F35">
      <w:pPr>
        <w:widowControl w:val="0"/>
        <w:ind w:firstLine="708"/>
        <w:jc w:val="both"/>
        <w:rPr>
          <w:rFonts w:ascii="Avant Garde" w:hAnsi="Avant Garde"/>
          <w:sz w:val="22"/>
          <w:szCs w:val="22"/>
        </w:rPr>
      </w:pPr>
    </w:p>
    <w:p w:rsidR="008D1F35" w:rsidRDefault="008D1F35" w:rsidP="008D1F35">
      <w:pPr>
        <w:widowControl w:val="0"/>
        <w:ind w:firstLine="708"/>
        <w:jc w:val="both"/>
        <w:rPr>
          <w:rFonts w:ascii="Avant Garde" w:hAnsi="Avant Garde"/>
          <w:sz w:val="22"/>
          <w:szCs w:val="22"/>
        </w:rPr>
      </w:pPr>
      <w:r w:rsidRPr="008D1F35">
        <w:rPr>
          <w:rFonts w:ascii="Avant Garde" w:hAnsi="Avant Garde"/>
          <w:sz w:val="22"/>
          <w:szCs w:val="22"/>
        </w:rPr>
        <w:t>Atendiendo al contenido de la misma consideración, se adecuó la fracción III del artículo 7 de la Ley, para quedar como: «Los trabajadores de los organismos constitucionales autónomos».</w:t>
      </w:r>
    </w:p>
    <w:p w:rsidR="005F6414" w:rsidRDefault="005F6414" w:rsidP="008D1F35">
      <w:pPr>
        <w:widowControl w:val="0"/>
        <w:ind w:firstLine="708"/>
        <w:jc w:val="both"/>
        <w:rPr>
          <w:rFonts w:ascii="Avant Garde" w:hAnsi="Avant Garde"/>
          <w:sz w:val="22"/>
          <w:szCs w:val="22"/>
        </w:rPr>
      </w:pPr>
    </w:p>
    <w:p w:rsidR="005D24F5" w:rsidRDefault="005F6414" w:rsidP="005F6414">
      <w:pPr>
        <w:widowControl w:val="0"/>
        <w:ind w:firstLine="708"/>
        <w:jc w:val="both"/>
        <w:rPr>
          <w:rFonts w:ascii="Avant Garde" w:hAnsi="Avant Garde"/>
          <w:sz w:val="22"/>
          <w:szCs w:val="22"/>
        </w:rPr>
      </w:pPr>
      <w:r>
        <w:rPr>
          <w:rFonts w:ascii="Avant Garde" w:hAnsi="Avant Garde"/>
          <w:sz w:val="22"/>
          <w:szCs w:val="22"/>
        </w:rPr>
        <w:t>El artículo 33</w:t>
      </w:r>
      <w:r w:rsidR="000D5650">
        <w:rPr>
          <w:rFonts w:ascii="Avant Garde" w:hAnsi="Avant Garde"/>
          <w:sz w:val="22"/>
          <w:szCs w:val="22"/>
        </w:rPr>
        <w:t xml:space="preserve"> de la iniciativa, relativo al reclamo de pensión de viudez por varios interesados propone que no se otorgará </w:t>
      </w:r>
      <w:r w:rsidR="005D24F5">
        <w:rPr>
          <w:rFonts w:ascii="Avant Garde" w:hAnsi="Avant Garde"/>
          <w:sz w:val="22"/>
          <w:szCs w:val="22"/>
        </w:rPr>
        <w:t xml:space="preserve">ésta </w:t>
      </w:r>
      <w:r w:rsidR="000D5650">
        <w:rPr>
          <w:rFonts w:ascii="Avant Garde" w:hAnsi="Avant Garde"/>
          <w:sz w:val="22"/>
          <w:szCs w:val="22"/>
        </w:rPr>
        <w:t xml:space="preserve">hasta </w:t>
      </w:r>
      <w:r w:rsidR="005D24F5">
        <w:rPr>
          <w:rFonts w:ascii="Avant Garde" w:hAnsi="Avant Garde"/>
          <w:sz w:val="22"/>
          <w:szCs w:val="22"/>
        </w:rPr>
        <w:t xml:space="preserve">que se dicte </w:t>
      </w:r>
      <w:r w:rsidR="000D5650">
        <w:rPr>
          <w:rFonts w:ascii="Avant Garde" w:hAnsi="Avant Garde"/>
          <w:sz w:val="22"/>
          <w:szCs w:val="22"/>
        </w:rPr>
        <w:t xml:space="preserve">sentencia </w:t>
      </w:r>
      <w:r w:rsidR="005D24F5">
        <w:rPr>
          <w:rFonts w:ascii="Avant Garde" w:hAnsi="Avant Garde"/>
          <w:sz w:val="22"/>
          <w:szCs w:val="22"/>
        </w:rPr>
        <w:t xml:space="preserve">por </w:t>
      </w:r>
      <w:r w:rsidR="000D5650">
        <w:rPr>
          <w:rFonts w:ascii="Avant Garde" w:hAnsi="Avant Garde"/>
          <w:sz w:val="22"/>
          <w:szCs w:val="22"/>
        </w:rPr>
        <w:t xml:space="preserve">la autoridad judicial que cause ejecutoria, a lo que estimamos que lo correcto era </w:t>
      </w:r>
      <w:r w:rsidR="005D24F5">
        <w:rPr>
          <w:rFonts w:ascii="Avant Garde" w:hAnsi="Avant Garde"/>
          <w:sz w:val="22"/>
          <w:szCs w:val="22"/>
        </w:rPr>
        <w:t>referir a</w:t>
      </w:r>
      <w:r w:rsidR="000D5650">
        <w:rPr>
          <w:rFonts w:ascii="Avant Garde" w:hAnsi="Avant Garde"/>
          <w:sz w:val="22"/>
          <w:szCs w:val="22"/>
        </w:rPr>
        <w:t xml:space="preserve"> causar estado, ya que </w:t>
      </w:r>
      <w:r w:rsidR="005D24F5">
        <w:rPr>
          <w:rFonts w:ascii="Avant Garde" w:hAnsi="Avant Garde"/>
          <w:sz w:val="22"/>
          <w:szCs w:val="22"/>
        </w:rPr>
        <w:t>si bien la sentencia de segunda instancia pone fin al juicio, y por tanto causa ejecutoria, aún existe la posibilidad del amparo y será hasta agotado éste cuando se esté en posibilidad de otorgar la pensión de viudez a quien corresponda.</w:t>
      </w:r>
    </w:p>
    <w:p w:rsidR="005D24F5" w:rsidRDefault="005D24F5" w:rsidP="005F6414">
      <w:pPr>
        <w:widowControl w:val="0"/>
        <w:ind w:firstLine="708"/>
        <w:jc w:val="both"/>
        <w:rPr>
          <w:rFonts w:ascii="Avant Garde" w:hAnsi="Avant Garde"/>
          <w:sz w:val="22"/>
          <w:szCs w:val="22"/>
        </w:rPr>
      </w:pPr>
      <w:bookmarkStart w:id="0" w:name="_GoBack"/>
      <w:bookmarkEnd w:id="0"/>
    </w:p>
    <w:p w:rsidR="005F6414" w:rsidRDefault="008D1F35" w:rsidP="005F6414">
      <w:pPr>
        <w:ind w:firstLine="708"/>
        <w:jc w:val="both"/>
        <w:rPr>
          <w:rFonts w:ascii="Avant Garde" w:hAnsi="Avant Garde"/>
          <w:sz w:val="22"/>
          <w:szCs w:val="22"/>
        </w:rPr>
      </w:pPr>
      <w:r>
        <w:rPr>
          <w:rFonts w:ascii="Avant Garde" w:hAnsi="Avant Garde"/>
          <w:sz w:val="22"/>
          <w:szCs w:val="22"/>
        </w:rPr>
        <w:t>Dentro de las excepciones de inembargabilidad</w:t>
      </w:r>
      <w:r w:rsidR="007A0918">
        <w:rPr>
          <w:rFonts w:ascii="Avant Garde" w:hAnsi="Avant Garde"/>
          <w:sz w:val="22"/>
          <w:szCs w:val="22"/>
        </w:rPr>
        <w:t xml:space="preserve">, propuesto por el iniciante en el artículo 38, esta Comisión dictaminadora estimó pertinente retomar el contenido normativo vigente </w:t>
      </w:r>
      <w:r w:rsidR="005F6414">
        <w:rPr>
          <w:rFonts w:ascii="Avant Garde" w:hAnsi="Avant Garde"/>
          <w:sz w:val="22"/>
          <w:szCs w:val="22"/>
        </w:rPr>
        <w:t xml:space="preserve">que limita estas excepciones cuando se trata de </w:t>
      </w:r>
      <w:r w:rsidR="005F6414" w:rsidRPr="005F6414">
        <w:rPr>
          <w:rFonts w:ascii="Avant Garde" w:hAnsi="Avant Garde"/>
          <w:sz w:val="22"/>
          <w:szCs w:val="22"/>
        </w:rPr>
        <w:t xml:space="preserve">cubrir obligaciones alimenticias decretadas por la autoridad, para cubrir adeudos con el Instituto y las autorizadas por el pensionista, </w:t>
      </w:r>
      <w:r w:rsidR="005F6414" w:rsidRPr="00F72067">
        <w:rPr>
          <w:rFonts w:ascii="Avant Garde" w:hAnsi="Avant Garde"/>
          <w:sz w:val="22"/>
          <w:szCs w:val="22"/>
        </w:rPr>
        <w:t>ya que la propuesta era demasiado amplia que abría a cualquiera que fuera decretada por autoridad judicial y a las autorizadas por el pensionado o beneficiario.</w:t>
      </w:r>
    </w:p>
    <w:p w:rsidR="00E42FBE" w:rsidRDefault="00E42FBE" w:rsidP="005F6414">
      <w:pPr>
        <w:ind w:firstLine="708"/>
        <w:jc w:val="both"/>
        <w:rPr>
          <w:rFonts w:ascii="Avant Garde" w:hAnsi="Avant Garde"/>
          <w:sz w:val="22"/>
          <w:szCs w:val="22"/>
        </w:rPr>
      </w:pPr>
    </w:p>
    <w:p w:rsidR="00E42FBE" w:rsidRPr="00E42FBE" w:rsidRDefault="00E42FBE" w:rsidP="00E42FBE">
      <w:pPr>
        <w:ind w:firstLine="708"/>
        <w:jc w:val="both"/>
        <w:rPr>
          <w:rFonts w:ascii="Avant Garde" w:hAnsi="Avant Garde"/>
          <w:sz w:val="22"/>
          <w:szCs w:val="22"/>
        </w:rPr>
      </w:pPr>
      <w:r w:rsidRPr="00E42FBE">
        <w:rPr>
          <w:rFonts w:ascii="Avant Garde" w:hAnsi="Avant Garde"/>
          <w:sz w:val="22"/>
          <w:szCs w:val="22"/>
        </w:rPr>
        <w:t>Se modificó la redacción del artículo 39 para dejar clara la atribución del Instituto para investigar, a través de la autoridad competente, la veracidad de la documentación presentada</w:t>
      </w:r>
      <w:r>
        <w:rPr>
          <w:rFonts w:ascii="Avant Garde" w:hAnsi="Avant Garde"/>
          <w:sz w:val="22"/>
          <w:szCs w:val="22"/>
        </w:rPr>
        <w:t xml:space="preserve">, y </w:t>
      </w:r>
      <w:r w:rsidRPr="00E42FBE">
        <w:rPr>
          <w:rFonts w:ascii="Avant Garde" w:hAnsi="Avant Garde"/>
          <w:sz w:val="22"/>
          <w:szCs w:val="22"/>
        </w:rPr>
        <w:t xml:space="preserve">que, en caso de acreditarse por dicha autoridad, la falsedad de un documento, proceda a la cancelación de la pensión, lo que además </w:t>
      </w:r>
      <w:r w:rsidR="001C427B">
        <w:rPr>
          <w:rFonts w:ascii="Avant Garde" w:hAnsi="Avant Garde"/>
          <w:sz w:val="22"/>
          <w:szCs w:val="22"/>
        </w:rPr>
        <w:t xml:space="preserve">se </w:t>
      </w:r>
      <w:r w:rsidRPr="00E42FBE">
        <w:rPr>
          <w:rFonts w:ascii="Avant Garde" w:hAnsi="Avant Garde"/>
          <w:sz w:val="22"/>
          <w:szCs w:val="22"/>
        </w:rPr>
        <w:t xml:space="preserve">dará a conocer al Ministerio Público. </w:t>
      </w:r>
    </w:p>
    <w:p w:rsidR="00E42FBE" w:rsidRDefault="00E42FBE" w:rsidP="00E42FBE">
      <w:pPr>
        <w:pStyle w:val="Textoindependiente2"/>
        <w:suppressAutoHyphens/>
        <w:spacing w:line="240" w:lineRule="auto"/>
        <w:ind w:firstLine="708"/>
        <w:rPr>
          <w:rFonts w:ascii="Arial" w:hAnsi="Arial" w:cs="Arial"/>
        </w:rPr>
      </w:pPr>
    </w:p>
    <w:p w:rsidR="007F63E6" w:rsidRPr="007F63E6" w:rsidRDefault="005D24F5" w:rsidP="007F63E6">
      <w:pPr>
        <w:ind w:firstLine="708"/>
        <w:jc w:val="both"/>
        <w:rPr>
          <w:rFonts w:ascii="Avant Garde" w:hAnsi="Avant Garde"/>
          <w:sz w:val="22"/>
          <w:szCs w:val="22"/>
        </w:rPr>
      </w:pPr>
      <w:r w:rsidRPr="007F63E6">
        <w:rPr>
          <w:rFonts w:ascii="Avant Garde" w:hAnsi="Avant Garde"/>
          <w:sz w:val="22"/>
          <w:szCs w:val="22"/>
        </w:rPr>
        <w:t xml:space="preserve">El iniciante propuso </w:t>
      </w:r>
      <w:r w:rsidR="00E42FBE">
        <w:rPr>
          <w:rFonts w:ascii="Avant Garde" w:hAnsi="Avant Garde"/>
          <w:sz w:val="22"/>
          <w:szCs w:val="22"/>
        </w:rPr>
        <w:t xml:space="preserve">en el artículo 40 </w:t>
      </w:r>
      <w:r w:rsidRPr="007F63E6">
        <w:rPr>
          <w:rFonts w:ascii="Avant Garde" w:hAnsi="Avant Garde"/>
          <w:sz w:val="22"/>
          <w:szCs w:val="22"/>
        </w:rPr>
        <w:t xml:space="preserve">un tope de siete veces la Unidad de Medida y Actualización </w:t>
      </w:r>
      <w:r w:rsidR="007F63E6" w:rsidRPr="007F63E6">
        <w:rPr>
          <w:rFonts w:ascii="Avant Garde" w:hAnsi="Avant Garde"/>
          <w:sz w:val="22"/>
          <w:szCs w:val="22"/>
        </w:rPr>
        <w:t>como importe de la ayuda de despensa a los pensionados o beneficiarios. Quienes dictaminamos consideramos que no se justificaba la disminución de este derecho en relación a la ley vigente que prevé el importe al menos de siete veces, lo que da la posibilidad de que pudiera ser mayor. Además, ante los ejercicios que se realizaron se llegó a la conclusión que este importe pudiera ser, incluso, menor si la referencia era la Unidad de Medida y Actualización, por ello se retomó la previsión vigente por estimar que era más benéfica para los pensionados o jubilados.</w:t>
      </w:r>
    </w:p>
    <w:p w:rsidR="007F63E6" w:rsidRPr="007F63E6" w:rsidRDefault="007F63E6" w:rsidP="007F63E6">
      <w:pPr>
        <w:ind w:firstLine="708"/>
        <w:jc w:val="both"/>
        <w:rPr>
          <w:rFonts w:ascii="Avant Garde" w:hAnsi="Avant Garde"/>
          <w:sz w:val="22"/>
          <w:szCs w:val="22"/>
        </w:rPr>
      </w:pPr>
    </w:p>
    <w:p w:rsidR="007F63E6" w:rsidRDefault="007F63E6" w:rsidP="008D1F35">
      <w:pPr>
        <w:widowControl w:val="0"/>
        <w:ind w:firstLine="708"/>
        <w:jc w:val="both"/>
        <w:rPr>
          <w:rFonts w:ascii="Avant Garde" w:hAnsi="Avant Garde"/>
          <w:sz w:val="22"/>
          <w:szCs w:val="22"/>
        </w:rPr>
      </w:pPr>
      <w:r>
        <w:rPr>
          <w:rFonts w:ascii="Avant Garde" w:hAnsi="Avant Garde"/>
          <w:sz w:val="22"/>
          <w:szCs w:val="22"/>
        </w:rPr>
        <w:t xml:space="preserve">En el artículo 52 estimamos pertinente que, en el caso de calificación y dictaminación de los riesgos de </w:t>
      </w:r>
      <w:r w:rsidR="00041836">
        <w:rPr>
          <w:rFonts w:ascii="Avant Garde" w:hAnsi="Avant Garde"/>
          <w:sz w:val="22"/>
          <w:szCs w:val="22"/>
        </w:rPr>
        <w:t xml:space="preserve">trabajo, </w:t>
      </w:r>
      <w:r w:rsidR="001C427B">
        <w:rPr>
          <w:rFonts w:ascii="Avant Garde" w:hAnsi="Avant Garde"/>
          <w:sz w:val="22"/>
          <w:szCs w:val="22"/>
        </w:rPr>
        <w:t xml:space="preserve">al estar </w:t>
      </w:r>
      <w:r w:rsidR="00041836">
        <w:rPr>
          <w:rFonts w:ascii="Avant Garde" w:hAnsi="Avant Garde"/>
          <w:sz w:val="22"/>
          <w:szCs w:val="22"/>
        </w:rPr>
        <w:t xml:space="preserve">previsto un plazo para el asegurado </w:t>
      </w:r>
      <w:r w:rsidR="001C427B">
        <w:rPr>
          <w:rFonts w:ascii="Avant Garde" w:hAnsi="Avant Garde"/>
          <w:sz w:val="22"/>
          <w:szCs w:val="22"/>
        </w:rPr>
        <w:t>p</w:t>
      </w:r>
      <w:r w:rsidR="00041836">
        <w:rPr>
          <w:rFonts w:ascii="Avant Garde" w:hAnsi="Avant Garde"/>
          <w:sz w:val="22"/>
          <w:szCs w:val="22"/>
        </w:rPr>
        <w:t>ara inconformarse con estas determinaciones, resultaba pertinent</w:t>
      </w:r>
      <w:r w:rsidR="001C427B">
        <w:rPr>
          <w:rFonts w:ascii="Avant Garde" w:hAnsi="Avant Garde"/>
          <w:sz w:val="22"/>
          <w:szCs w:val="22"/>
        </w:rPr>
        <w:t xml:space="preserve">e establecer, de igual forma, </w:t>
      </w:r>
      <w:r w:rsidR="00041836">
        <w:rPr>
          <w:rFonts w:ascii="Avant Garde" w:hAnsi="Avant Garde"/>
          <w:sz w:val="22"/>
          <w:szCs w:val="22"/>
        </w:rPr>
        <w:t>un plazo para el caso de desacuerdo por parte del Instituto con el dictamen técnico. Para ello, se fijó un término de diez días naturales.</w:t>
      </w:r>
    </w:p>
    <w:p w:rsidR="00601056" w:rsidRDefault="00601056" w:rsidP="008D1F35">
      <w:pPr>
        <w:widowControl w:val="0"/>
        <w:ind w:firstLine="708"/>
        <w:jc w:val="both"/>
        <w:rPr>
          <w:rFonts w:ascii="Avant Garde" w:hAnsi="Avant Garde"/>
          <w:sz w:val="22"/>
          <w:szCs w:val="22"/>
        </w:rPr>
      </w:pPr>
    </w:p>
    <w:p w:rsidR="00601056" w:rsidRPr="00601056" w:rsidRDefault="00601056" w:rsidP="00601056">
      <w:pPr>
        <w:widowControl w:val="0"/>
        <w:ind w:firstLine="708"/>
        <w:jc w:val="both"/>
        <w:rPr>
          <w:rFonts w:ascii="Avant Garde" w:hAnsi="Avant Garde"/>
          <w:sz w:val="22"/>
          <w:szCs w:val="22"/>
        </w:rPr>
      </w:pPr>
      <w:r w:rsidRPr="00601056">
        <w:rPr>
          <w:rFonts w:ascii="Avant Garde" w:hAnsi="Avant Garde"/>
          <w:sz w:val="22"/>
          <w:szCs w:val="22"/>
        </w:rPr>
        <w:t xml:space="preserve">Por lo expuesto y con fundamento en los artículos 113 fracción I y 171 de la Ley Orgánica del Poder Legislativo, se propone a la Asamblea el siguiente: </w:t>
      </w:r>
    </w:p>
    <w:p w:rsidR="00601056" w:rsidRDefault="00601056" w:rsidP="008D1F35">
      <w:pPr>
        <w:widowControl w:val="0"/>
        <w:ind w:firstLine="708"/>
        <w:jc w:val="both"/>
        <w:rPr>
          <w:rFonts w:ascii="Avant Garde" w:hAnsi="Avant Garde"/>
          <w:sz w:val="22"/>
          <w:szCs w:val="22"/>
        </w:rPr>
      </w:pPr>
    </w:p>
    <w:p w:rsidR="007F63E6" w:rsidRDefault="007F63E6" w:rsidP="008D1F35">
      <w:pPr>
        <w:widowControl w:val="0"/>
        <w:ind w:firstLine="708"/>
        <w:jc w:val="both"/>
        <w:rPr>
          <w:rFonts w:ascii="Avant Garde" w:hAnsi="Avant Garde"/>
          <w:sz w:val="22"/>
          <w:szCs w:val="22"/>
        </w:rPr>
      </w:pPr>
    </w:p>
    <w:sectPr w:rsidR="007F63E6" w:rsidSect="00F72067">
      <w:footerReference w:type="even" r:id="rId8"/>
      <w:footerReference w:type="default" r:id="rId9"/>
      <w:pgSz w:w="12240" w:h="15840" w:code="1"/>
      <w:pgMar w:top="2948" w:right="1701" w:bottom="1701" w:left="1701" w:header="709" w:footer="709" w:gutter="0"/>
      <w:paperSrc w:first="3" w:other="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B06" w:rsidRDefault="00550B06" w:rsidP="0006547E">
      <w:r>
        <w:separator/>
      </w:r>
    </w:p>
  </w:endnote>
  <w:endnote w:type="continuationSeparator" w:id="0">
    <w:p w:rsidR="00550B06" w:rsidRDefault="00550B06" w:rsidP="0006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vant Garde">
    <w:altName w:val="Century Gothic"/>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dobe Garamond Pro">
    <w:altName w:val="Cambria"/>
    <w:panose1 w:val="00000000000000000000"/>
    <w:charset w:val="00"/>
    <w:family w:val="roman"/>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17E" w:rsidRDefault="0072417E" w:rsidP="005A7DE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2417E" w:rsidRDefault="0072417E" w:rsidP="005A7DEE">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17E" w:rsidRPr="005B149B" w:rsidRDefault="0072417E" w:rsidP="005A7DEE">
    <w:pPr>
      <w:pStyle w:val="Piedepgina"/>
      <w:framePr w:wrap="around" w:vAnchor="text" w:hAnchor="margin" w:xAlign="right" w:y="1"/>
      <w:rPr>
        <w:rStyle w:val="Nmerodepgina"/>
        <w:rFonts w:ascii="Arial" w:hAnsi="Arial"/>
        <w:sz w:val="20"/>
        <w:szCs w:val="20"/>
      </w:rPr>
    </w:pPr>
    <w:r w:rsidRPr="005B149B">
      <w:rPr>
        <w:rStyle w:val="Nmerodepgina"/>
        <w:rFonts w:ascii="Arial" w:hAnsi="Arial"/>
        <w:sz w:val="20"/>
        <w:szCs w:val="20"/>
      </w:rPr>
      <w:fldChar w:fldCharType="begin"/>
    </w:r>
    <w:r>
      <w:rPr>
        <w:rStyle w:val="Nmerodepgina"/>
        <w:rFonts w:ascii="Arial" w:hAnsi="Arial"/>
        <w:sz w:val="20"/>
        <w:szCs w:val="20"/>
      </w:rPr>
      <w:instrText>PAGE</w:instrText>
    </w:r>
    <w:r w:rsidRPr="005B149B">
      <w:rPr>
        <w:rStyle w:val="Nmerodepgina"/>
        <w:rFonts w:ascii="Arial" w:hAnsi="Arial"/>
        <w:sz w:val="20"/>
        <w:szCs w:val="20"/>
      </w:rPr>
      <w:fldChar w:fldCharType="separate"/>
    </w:r>
    <w:r w:rsidR="009D0927">
      <w:rPr>
        <w:rStyle w:val="Nmerodepgina"/>
        <w:rFonts w:ascii="Arial" w:hAnsi="Arial"/>
        <w:noProof/>
        <w:sz w:val="20"/>
        <w:szCs w:val="20"/>
      </w:rPr>
      <w:t>9</w:t>
    </w:r>
    <w:r w:rsidRPr="005B149B">
      <w:rPr>
        <w:rStyle w:val="Nmerodepgina"/>
        <w:rFonts w:ascii="Arial" w:hAnsi="Arial"/>
        <w:sz w:val="20"/>
        <w:szCs w:val="20"/>
      </w:rPr>
      <w:fldChar w:fldCharType="end"/>
    </w:r>
  </w:p>
  <w:p w:rsidR="0072417E" w:rsidRDefault="0072417E" w:rsidP="005A7DEE">
    <w:pPr>
      <w:pStyle w:val="Piedepgin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B06" w:rsidRDefault="00550B06" w:rsidP="0006547E">
      <w:r>
        <w:separator/>
      </w:r>
    </w:p>
  </w:footnote>
  <w:footnote w:type="continuationSeparator" w:id="0">
    <w:p w:rsidR="00550B06" w:rsidRDefault="00550B06" w:rsidP="0006547E">
      <w:r>
        <w:continuationSeparator/>
      </w:r>
    </w:p>
  </w:footnote>
  <w:footnote w:id="1">
    <w:p w:rsidR="0072417E" w:rsidRPr="007B210F" w:rsidRDefault="0072417E" w:rsidP="0014445A">
      <w:pPr>
        <w:pStyle w:val="Textonotapie"/>
        <w:jc w:val="both"/>
        <w:rPr>
          <w:sz w:val="18"/>
          <w:szCs w:val="18"/>
        </w:rPr>
      </w:pPr>
      <w:r w:rsidRPr="007B210F">
        <w:rPr>
          <w:rStyle w:val="Refdenotaalpie"/>
        </w:rPr>
        <w:footnoteRef/>
      </w:r>
      <w:r>
        <w:rPr>
          <w:sz w:val="18"/>
          <w:szCs w:val="18"/>
          <w:lang w:val="es-MX"/>
        </w:rPr>
        <w:t xml:space="preserve"> </w:t>
      </w:r>
      <w:r w:rsidRPr="007B210F">
        <w:rPr>
          <w:sz w:val="18"/>
          <w:szCs w:val="18"/>
        </w:rPr>
        <w:t>Mediante el cual, se reforman los artículos 5, fracciones VIII, IX y X; 6, fracciones I y II; 12, párrafo primero; 13, párrafo segundo; 14, párrafo segundo; 15; 18; 19; 23, fracción I; 26; 32, fracción I, párrafos primero y tercero; 35, fracciones I y II; 36; 38, párrafo segundo; 39; 40; 48, fracción I; 52, párrafo segundo; 55; 57; 58; 61; 71, párrafo primero; 72, párrafo segundo y la Tabla del Tiempo de Cotización; 74, fracción III; 75, fracciones I, II, VI y VII; 78; 79; 82, fracción I, la Tabla de Años de Cotización y la fracción II; 86; 88; 89, fracciones I, II y IV; 90; 92; 95; la denominación de la Sección Quinta; 97; 98; 100; 103; 105, fracción V; 112, fracciones III y XVI; y 117, párrafo primero. Se adicionan los artículos 5 con las fracciones XI y XII; 17 con un párrafo segundo; 22 con un párrafo segundo; 23 con un párrafo tercero; 50, con un segundo párrafo; un Capítulo Noveno al Título Segundo que se integra con los artículos 53 A y 53 B; recorriéndose en su orden los actuales Capítulos Noveno y Décimo, para quedar como Capítulos Décimo y Décimo Primero; 69 con un párrafo tercero; 71 con un segundo párrafo; un Capítulo Décimo Segundo que se integra con los artículos 72 A y 72 B; recorriéndose en su orden los actuales Capítulos Décimo Primero, Décimo Segundo, Décimo Tercero y Décimo Cuarto, para ubicarse como Capítulos Décimo Tercero, Décimo Cuarto, Décimo Quinto y Décimo Sexto; 75 con una fracción VIII; 81 con un párrafo segundo; 105 con la fracción VI, recorriéndose en su orden de la actual fracción VI a la XIV para pasar a ser de la VII a la XV, así como las fracciones XVI, XVII, XVIII y XIX; 112 con las fracciones XVII, XVIII y XIX; 117 con un párrafo tercero; y 120 con la fracción XXII. Se deroga la fracción VI del artículo 5; todos ellos de la Ley de Seguridad Social del Estado de Guanajuato.</w:t>
      </w:r>
    </w:p>
  </w:footnote>
  <w:footnote w:id="2">
    <w:p w:rsidR="0072417E" w:rsidRPr="007B210F" w:rsidRDefault="0072417E" w:rsidP="0014445A">
      <w:pPr>
        <w:widowControl w:val="0"/>
        <w:jc w:val="both"/>
        <w:rPr>
          <w:rFonts w:ascii="Calibri" w:eastAsia="Calibri" w:hAnsi="Calibri"/>
          <w:sz w:val="18"/>
          <w:szCs w:val="18"/>
          <w:lang w:val="es-MX" w:eastAsia="en-US"/>
        </w:rPr>
      </w:pPr>
      <w:r w:rsidRPr="007B210F">
        <w:rPr>
          <w:rStyle w:val="Refdenotaalpie"/>
          <w:rFonts w:ascii="Calibri" w:eastAsia="Calibri" w:hAnsi="Calibri"/>
          <w:sz w:val="20"/>
          <w:szCs w:val="20"/>
          <w:lang w:val="es-MX" w:eastAsia="en-US"/>
        </w:rPr>
        <w:footnoteRef/>
      </w:r>
      <w:r w:rsidRPr="007B210F">
        <w:rPr>
          <w:rFonts w:ascii="Calibri" w:eastAsia="Calibri" w:hAnsi="Calibri"/>
          <w:sz w:val="18"/>
          <w:szCs w:val="18"/>
          <w:lang w:val="es-MX" w:eastAsia="en-US"/>
        </w:rPr>
        <w:t>A través del cual (dentro de un decreto de modificación múltiple con motivo de la adecuaciones de congruencia normativa, en el artículo Cuadragésimo Sexto del Decreto) se reforma el artículo 119, fracción VI, de la Ley de Seguridad Social del Estado de Guanajuato.</w:t>
      </w:r>
    </w:p>
  </w:footnote>
  <w:footnote w:id="3">
    <w:p w:rsidR="0072417E" w:rsidRPr="007B210F" w:rsidRDefault="0072417E" w:rsidP="0014445A">
      <w:pPr>
        <w:pStyle w:val="Textonotapie"/>
        <w:jc w:val="both"/>
        <w:rPr>
          <w:sz w:val="18"/>
          <w:szCs w:val="18"/>
        </w:rPr>
      </w:pPr>
      <w:r w:rsidRPr="007B210F">
        <w:rPr>
          <w:rStyle w:val="Refdenotaalpie"/>
        </w:rPr>
        <w:footnoteRef/>
      </w:r>
      <w:r w:rsidRPr="007B210F">
        <w:rPr>
          <w:sz w:val="18"/>
          <w:szCs w:val="18"/>
        </w:rPr>
        <w:t>Por el cual se reforman los artículos 1, 8, fracciones II, IV y VI; 13, párrafo segundo; 15; 18; 19; 22, fracción II y segundo párrafo; 23, párrafo primero y fracción I; 26, párrafo primero; 33, párrafo primero; 34; 38; 45; 46; 50, párrafo primero; 55; 67, párrafo primero; 69, párrafos primero y tercero; 70; 71, párrafo primero y fracción I; 73; 74; 75, párrafo primero y fracción II; 77; 78; 82, fracción I; 83, párrafo primero; 84; 89; 94; 100; 103; 104, fracción II; 106, fracción II; 109, fracción II; 112, fracciones V y XII; la denominación del CAPÍTULO TERCERO del TÍTULO TERCERO; 117; 118; 119, párrafo primero y fracción V; 120, fracción II; y 124; se adicionan los artículos 8, con una fracción VIII, reubicándose el contenido de la actual fracción VIII, como IX; 22, con un párrafo tercero; 23, con una fracción V; 23 A; 69, con un párrafo cuarto; 75, con un párrafo segundo; 76, con un párrafo segundo; 83, con un párrafo segundo; 86 A; 91, con un párrafo segundo; 91 A; 104, con una fracción IV y un párrafo segundo; 112, con las fracciones XIX, XX y XXI, reubicándose el contenido de la actual fracción XIX, para quedar como XXII; 119, con la fracción IX, reubicándose el contenido de la actual fracción IX, como fracción X, y un párrafo segundo; y 120 A; y se derogan los artículos 72-A; 72-B; y Sexto Transitorio del Decreto número 128 emitido por la Quincuagésima Octava Legislatura Constitucional del Estado Libre y Soberano de Guanajuato, todos ellos de la Ley de Seguridad Social del Estado de Guanajuato.</w:t>
      </w:r>
    </w:p>
  </w:footnote>
  <w:footnote w:id="4">
    <w:p w:rsidR="0072417E" w:rsidRPr="007B210F" w:rsidRDefault="0072417E" w:rsidP="0014445A">
      <w:pPr>
        <w:jc w:val="both"/>
        <w:rPr>
          <w:sz w:val="18"/>
          <w:szCs w:val="18"/>
          <w:lang w:val="es-MX"/>
        </w:rPr>
      </w:pPr>
      <w:r w:rsidRPr="007B210F">
        <w:rPr>
          <w:rStyle w:val="Refdenotaalpie"/>
          <w:rFonts w:ascii="Calibri" w:eastAsia="Calibri" w:hAnsi="Calibri"/>
          <w:sz w:val="20"/>
          <w:lang w:eastAsia="en-US"/>
        </w:rPr>
        <w:footnoteRef/>
      </w:r>
      <w:r w:rsidRPr="007B210F">
        <w:rPr>
          <w:rFonts w:ascii="Calibri" w:eastAsia="Calibri" w:hAnsi="Calibri"/>
          <w:sz w:val="18"/>
          <w:szCs w:val="18"/>
          <w:lang w:val="es-MX" w:eastAsia="en-US"/>
        </w:rPr>
        <w:t>Mediante el cual se reforma el artículo 119, fracción VI; y se adiciona un artículo 70 A, a la Ley de Seguridad Social del Estado de Guanajuato.</w:t>
      </w:r>
    </w:p>
  </w:footnote>
  <w:footnote w:id="5">
    <w:p w:rsidR="0072417E" w:rsidRPr="007B210F" w:rsidRDefault="0072417E" w:rsidP="0014445A">
      <w:pPr>
        <w:pStyle w:val="Textonotapie"/>
        <w:jc w:val="both"/>
        <w:rPr>
          <w:sz w:val="18"/>
          <w:szCs w:val="18"/>
        </w:rPr>
      </w:pPr>
      <w:r w:rsidRPr="007B210F">
        <w:rPr>
          <w:rStyle w:val="Refdenotaalpie"/>
        </w:rPr>
        <w:footnoteRef/>
      </w:r>
      <w:r w:rsidRPr="007B210F">
        <w:rPr>
          <w:sz w:val="18"/>
          <w:szCs w:val="18"/>
        </w:rPr>
        <w:t xml:space="preserve">Por el cual (dentro de un decreto de modificación múltiple con motivo de la adecuaciones que con motivo de la Unidad de Medida y actualización UMA, en el artículo Trigésimo Segundo del Decreto) se reformaron los artículos 51 y 70, de la Ley de Seguridad Social del Estado de Guanajuato;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15B1"/>
    <w:multiLevelType w:val="hybridMultilevel"/>
    <w:tmpl w:val="20D62E1C"/>
    <w:lvl w:ilvl="0" w:tplc="46EA12D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C8920CA"/>
    <w:multiLevelType w:val="hybridMultilevel"/>
    <w:tmpl w:val="33F83FC4"/>
    <w:lvl w:ilvl="0" w:tplc="A1F235B4">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DA075B7"/>
    <w:multiLevelType w:val="hybridMultilevel"/>
    <w:tmpl w:val="DFFA0342"/>
    <w:lvl w:ilvl="0" w:tplc="6548D75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 w15:restartNumberingAfterBreak="0">
    <w:nsid w:val="0ECB2BEB"/>
    <w:multiLevelType w:val="hybridMultilevel"/>
    <w:tmpl w:val="F79A58A0"/>
    <w:lvl w:ilvl="0" w:tplc="80E8B75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20A438E"/>
    <w:multiLevelType w:val="hybridMultilevel"/>
    <w:tmpl w:val="011E41B4"/>
    <w:lvl w:ilvl="0" w:tplc="178A5BCA">
      <w:start w:val="2"/>
      <w:numFmt w:val="low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15:restartNumberingAfterBreak="0">
    <w:nsid w:val="14890F9B"/>
    <w:multiLevelType w:val="hybridMultilevel"/>
    <w:tmpl w:val="2EA02CA0"/>
    <w:lvl w:ilvl="0" w:tplc="8076B8FC">
      <w:start w:val="6"/>
      <w:numFmt w:val="bullet"/>
      <w:lvlText w:val="•"/>
      <w:lvlJc w:val="left"/>
      <w:pPr>
        <w:ind w:left="1211" w:hanging="360"/>
      </w:pPr>
      <w:rPr>
        <w:rFonts w:ascii="Verdana" w:eastAsia="Times New Roman" w:hAnsi="Verdana" w:cs="Times New Roman" w:hint="default"/>
      </w:rPr>
    </w:lvl>
    <w:lvl w:ilvl="1" w:tplc="080A0003">
      <w:start w:val="1"/>
      <w:numFmt w:val="bullet"/>
      <w:lvlText w:val="o"/>
      <w:lvlJc w:val="left"/>
      <w:pPr>
        <w:ind w:left="1931" w:hanging="360"/>
      </w:pPr>
      <w:rPr>
        <w:rFonts w:ascii="Courier New" w:hAnsi="Courier New" w:cs="Courier New" w:hint="default"/>
      </w:rPr>
    </w:lvl>
    <w:lvl w:ilvl="2" w:tplc="080A0005" w:tentative="1">
      <w:start w:val="1"/>
      <w:numFmt w:val="bullet"/>
      <w:lvlText w:val=""/>
      <w:lvlJc w:val="left"/>
      <w:pPr>
        <w:ind w:left="2651" w:hanging="360"/>
      </w:pPr>
      <w:rPr>
        <w:rFonts w:ascii="Wingdings" w:hAnsi="Wingdings" w:hint="default"/>
      </w:rPr>
    </w:lvl>
    <w:lvl w:ilvl="3" w:tplc="080A0001" w:tentative="1">
      <w:start w:val="1"/>
      <w:numFmt w:val="bullet"/>
      <w:lvlText w:val=""/>
      <w:lvlJc w:val="left"/>
      <w:pPr>
        <w:ind w:left="3371" w:hanging="360"/>
      </w:pPr>
      <w:rPr>
        <w:rFonts w:ascii="Symbol" w:hAnsi="Symbol" w:hint="default"/>
      </w:rPr>
    </w:lvl>
    <w:lvl w:ilvl="4" w:tplc="080A0003" w:tentative="1">
      <w:start w:val="1"/>
      <w:numFmt w:val="bullet"/>
      <w:lvlText w:val="o"/>
      <w:lvlJc w:val="left"/>
      <w:pPr>
        <w:ind w:left="4091" w:hanging="360"/>
      </w:pPr>
      <w:rPr>
        <w:rFonts w:ascii="Courier New" w:hAnsi="Courier New" w:cs="Courier New" w:hint="default"/>
      </w:rPr>
    </w:lvl>
    <w:lvl w:ilvl="5" w:tplc="080A0005" w:tentative="1">
      <w:start w:val="1"/>
      <w:numFmt w:val="bullet"/>
      <w:lvlText w:val=""/>
      <w:lvlJc w:val="left"/>
      <w:pPr>
        <w:ind w:left="4811" w:hanging="360"/>
      </w:pPr>
      <w:rPr>
        <w:rFonts w:ascii="Wingdings" w:hAnsi="Wingdings" w:hint="default"/>
      </w:rPr>
    </w:lvl>
    <w:lvl w:ilvl="6" w:tplc="080A0001" w:tentative="1">
      <w:start w:val="1"/>
      <w:numFmt w:val="bullet"/>
      <w:lvlText w:val=""/>
      <w:lvlJc w:val="left"/>
      <w:pPr>
        <w:ind w:left="5531" w:hanging="360"/>
      </w:pPr>
      <w:rPr>
        <w:rFonts w:ascii="Symbol" w:hAnsi="Symbol" w:hint="default"/>
      </w:rPr>
    </w:lvl>
    <w:lvl w:ilvl="7" w:tplc="080A0003" w:tentative="1">
      <w:start w:val="1"/>
      <w:numFmt w:val="bullet"/>
      <w:lvlText w:val="o"/>
      <w:lvlJc w:val="left"/>
      <w:pPr>
        <w:ind w:left="6251" w:hanging="360"/>
      </w:pPr>
      <w:rPr>
        <w:rFonts w:ascii="Courier New" w:hAnsi="Courier New" w:cs="Courier New" w:hint="default"/>
      </w:rPr>
    </w:lvl>
    <w:lvl w:ilvl="8" w:tplc="080A0005" w:tentative="1">
      <w:start w:val="1"/>
      <w:numFmt w:val="bullet"/>
      <w:lvlText w:val=""/>
      <w:lvlJc w:val="left"/>
      <w:pPr>
        <w:ind w:left="6971" w:hanging="360"/>
      </w:pPr>
      <w:rPr>
        <w:rFonts w:ascii="Wingdings" w:hAnsi="Wingdings" w:hint="default"/>
      </w:rPr>
    </w:lvl>
  </w:abstractNum>
  <w:abstractNum w:abstractNumId="6" w15:restartNumberingAfterBreak="0">
    <w:nsid w:val="1C441D5B"/>
    <w:multiLevelType w:val="hybridMultilevel"/>
    <w:tmpl w:val="5C245F26"/>
    <w:lvl w:ilvl="0" w:tplc="B0AA0D44">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1C797E32"/>
    <w:multiLevelType w:val="hybridMultilevel"/>
    <w:tmpl w:val="5CF6DDA0"/>
    <w:lvl w:ilvl="0" w:tplc="BE2AF9C6">
      <w:start w:val="1"/>
      <w:numFmt w:val="lowerLetter"/>
      <w:lvlText w:val="%1)"/>
      <w:lvlJc w:val="left"/>
      <w:pPr>
        <w:tabs>
          <w:tab w:val="num" w:pos="851"/>
        </w:tabs>
        <w:ind w:left="851" w:hanging="851"/>
      </w:pPr>
      <w:rPr>
        <w:rFonts w:ascii="Verdana" w:hAnsi="Verdana" w:hint="default"/>
        <w:b/>
        <w:i w:val="0"/>
        <w:sz w:val="19"/>
        <w:szCs w:val="19"/>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28643641"/>
    <w:multiLevelType w:val="hybridMultilevel"/>
    <w:tmpl w:val="3AE49E3A"/>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9" w15:restartNumberingAfterBreak="0">
    <w:nsid w:val="28F57E4D"/>
    <w:multiLevelType w:val="hybridMultilevel"/>
    <w:tmpl w:val="C8E23B2E"/>
    <w:lvl w:ilvl="0" w:tplc="C42C712C">
      <w:start w:val="1"/>
      <w:numFmt w:val="upperRoman"/>
      <w:lvlText w:val="%1."/>
      <w:lvlJc w:val="left"/>
      <w:pPr>
        <w:ind w:left="1070"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0" w15:restartNumberingAfterBreak="0">
    <w:nsid w:val="2A040381"/>
    <w:multiLevelType w:val="hybridMultilevel"/>
    <w:tmpl w:val="22DCB078"/>
    <w:lvl w:ilvl="0" w:tplc="90D2424E">
      <w:start w:val="1"/>
      <w:numFmt w:val="bullet"/>
      <w:lvlText w:val="•"/>
      <w:lvlJc w:val="left"/>
      <w:pPr>
        <w:tabs>
          <w:tab w:val="num" w:pos="720"/>
        </w:tabs>
        <w:ind w:left="720" w:hanging="360"/>
      </w:pPr>
      <w:rPr>
        <w:rFonts w:ascii="Arial" w:hAnsi="Arial" w:hint="default"/>
      </w:rPr>
    </w:lvl>
    <w:lvl w:ilvl="1" w:tplc="FF52B01A" w:tentative="1">
      <w:start w:val="1"/>
      <w:numFmt w:val="bullet"/>
      <w:lvlText w:val="•"/>
      <w:lvlJc w:val="left"/>
      <w:pPr>
        <w:tabs>
          <w:tab w:val="num" w:pos="1440"/>
        </w:tabs>
        <w:ind w:left="1440" w:hanging="360"/>
      </w:pPr>
      <w:rPr>
        <w:rFonts w:ascii="Arial" w:hAnsi="Arial" w:hint="default"/>
      </w:rPr>
    </w:lvl>
    <w:lvl w:ilvl="2" w:tplc="67BC1448" w:tentative="1">
      <w:start w:val="1"/>
      <w:numFmt w:val="bullet"/>
      <w:lvlText w:val="•"/>
      <w:lvlJc w:val="left"/>
      <w:pPr>
        <w:tabs>
          <w:tab w:val="num" w:pos="2160"/>
        </w:tabs>
        <w:ind w:left="2160" w:hanging="360"/>
      </w:pPr>
      <w:rPr>
        <w:rFonts w:ascii="Arial" w:hAnsi="Arial" w:hint="default"/>
      </w:rPr>
    </w:lvl>
    <w:lvl w:ilvl="3" w:tplc="6C6CD192" w:tentative="1">
      <w:start w:val="1"/>
      <w:numFmt w:val="bullet"/>
      <w:lvlText w:val="•"/>
      <w:lvlJc w:val="left"/>
      <w:pPr>
        <w:tabs>
          <w:tab w:val="num" w:pos="2880"/>
        </w:tabs>
        <w:ind w:left="2880" w:hanging="360"/>
      </w:pPr>
      <w:rPr>
        <w:rFonts w:ascii="Arial" w:hAnsi="Arial" w:hint="default"/>
      </w:rPr>
    </w:lvl>
    <w:lvl w:ilvl="4" w:tplc="5F1C300A" w:tentative="1">
      <w:start w:val="1"/>
      <w:numFmt w:val="bullet"/>
      <w:lvlText w:val="•"/>
      <w:lvlJc w:val="left"/>
      <w:pPr>
        <w:tabs>
          <w:tab w:val="num" w:pos="3600"/>
        </w:tabs>
        <w:ind w:left="3600" w:hanging="360"/>
      </w:pPr>
      <w:rPr>
        <w:rFonts w:ascii="Arial" w:hAnsi="Arial" w:hint="default"/>
      </w:rPr>
    </w:lvl>
    <w:lvl w:ilvl="5" w:tplc="3EC6C524" w:tentative="1">
      <w:start w:val="1"/>
      <w:numFmt w:val="bullet"/>
      <w:lvlText w:val="•"/>
      <w:lvlJc w:val="left"/>
      <w:pPr>
        <w:tabs>
          <w:tab w:val="num" w:pos="4320"/>
        </w:tabs>
        <w:ind w:left="4320" w:hanging="360"/>
      </w:pPr>
      <w:rPr>
        <w:rFonts w:ascii="Arial" w:hAnsi="Arial" w:hint="default"/>
      </w:rPr>
    </w:lvl>
    <w:lvl w:ilvl="6" w:tplc="887C92FA" w:tentative="1">
      <w:start w:val="1"/>
      <w:numFmt w:val="bullet"/>
      <w:lvlText w:val="•"/>
      <w:lvlJc w:val="left"/>
      <w:pPr>
        <w:tabs>
          <w:tab w:val="num" w:pos="5040"/>
        </w:tabs>
        <w:ind w:left="5040" w:hanging="360"/>
      </w:pPr>
      <w:rPr>
        <w:rFonts w:ascii="Arial" w:hAnsi="Arial" w:hint="default"/>
      </w:rPr>
    </w:lvl>
    <w:lvl w:ilvl="7" w:tplc="093225A6" w:tentative="1">
      <w:start w:val="1"/>
      <w:numFmt w:val="bullet"/>
      <w:lvlText w:val="•"/>
      <w:lvlJc w:val="left"/>
      <w:pPr>
        <w:tabs>
          <w:tab w:val="num" w:pos="5760"/>
        </w:tabs>
        <w:ind w:left="5760" w:hanging="360"/>
      </w:pPr>
      <w:rPr>
        <w:rFonts w:ascii="Arial" w:hAnsi="Arial" w:hint="default"/>
      </w:rPr>
    </w:lvl>
    <w:lvl w:ilvl="8" w:tplc="938245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123A44"/>
    <w:multiLevelType w:val="hybridMultilevel"/>
    <w:tmpl w:val="6C3A54D4"/>
    <w:lvl w:ilvl="0" w:tplc="AA063FD0">
      <w:start w:val="1"/>
      <w:numFmt w:val="lowerLetter"/>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2" w15:restartNumberingAfterBreak="0">
    <w:nsid w:val="2A245738"/>
    <w:multiLevelType w:val="hybridMultilevel"/>
    <w:tmpl w:val="E286AC6A"/>
    <w:lvl w:ilvl="0" w:tplc="ECAE508E">
      <w:start w:val="1"/>
      <w:numFmt w:val="upperRoman"/>
      <w:lvlText w:val="%1."/>
      <w:lvlJc w:val="left"/>
      <w:pPr>
        <w:ind w:left="720" w:hanging="360"/>
      </w:pPr>
      <w:rPr>
        <w:rFonts w:ascii="Avant Garde" w:hAnsi="Avant Garde" w:hint="default"/>
        <w:b/>
        <w:i w:val="0"/>
        <w:strike w:val="0"/>
        <w:dstrike w:val="0"/>
        <w:sz w:val="22"/>
        <w:szCs w:val="22"/>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2E1A6624"/>
    <w:multiLevelType w:val="hybridMultilevel"/>
    <w:tmpl w:val="BD10AC5E"/>
    <w:lvl w:ilvl="0" w:tplc="277633B8">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317C2580"/>
    <w:multiLevelType w:val="hybridMultilevel"/>
    <w:tmpl w:val="D250F20A"/>
    <w:lvl w:ilvl="0" w:tplc="1576A874">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5" w15:restartNumberingAfterBreak="0">
    <w:nsid w:val="34294E2E"/>
    <w:multiLevelType w:val="hybridMultilevel"/>
    <w:tmpl w:val="C1F68B4E"/>
    <w:lvl w:ilvl="0" w:tplc="A79EF62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6" w15:restartNumberingAfterBreak="0">
    <w:nsid w:val="34A13C56"/>
    <w:multiLevelType w:val="hybridMultilevel"/>
    <w:tmpl w:val="543AB16C"/>
    <w:lvl w:ilvl="0" w:tplc="1E90BC2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7" w15:restartNumberingAfterBreak="0">
    <w:nsid w:val="353D1C09"/>
    <w:multiLevelType w:val="hybridMultilevel"/>
    <w:tmpl w:val="9EC6C3BA"/>
    <w:lvl w:ilvl="0" w:tplc="282A36A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8" w15:restartNumberingAfterBreak="0">
    <w:nsid w:val="3B062751"/>
    <w:multiLevelType w:val="hybridMultilevel"/>
    <w:tmpl w:val="F8A67E28"/>
    <w:lvl w:ilvl="0" w:tplc="4B9ACDA2">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3EAA2E0D"/>
    <w:multiLevelType w:val="hybridMultilevel"/>
    <w:tmpl w:val="E15E7136"/>
    <w:lvl w:ilvl="0" w:tplc="8D5437D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20" w15:restartNumberingAfterBreak="0">
    <w:nsid w:val="47AB370D"/>
    <w:multiLevelType w:val="hybridMultilevel"/>
    <w:tmpl w:val="76D65D5A"/>
    <w:lvl w:ilvl="0" w:tplc="A3349A28">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21" w15:restartNumberingAfterBreak="0">
    <w:nsid w:val="4AC52210"/>
    <w:multiLevelType w:val="hybridMultilevel"/>
    <w:tmpl w:val="AB30D91A"/>
    <w:lvl w:ilvl="0" w:tplc="6E425A36">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22" w15:restartNumberingAfterBreak="0">
    <w:nsid w:val="4B39030A"/>
    <w:multiLevelType w:val="hybridMultilevel"/>
    <w:tmpl w:val="597E90D6"/>
    <w:lvl w:ilvl="0" w:tplc="EF4A6DCA">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52647D58"/>
    <w:multiLevelType w:val="hybridMultilevel"/>
    <w:tmpl w:val="92A06C66"/>
    <w:lvl w:ilvl="0" w:tplc="2808001A">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53EF349E"/>
    <w:multiLevelType w:val="hybridMultilevel"/>
    <w:tmpl w:val="E4CE55E8"/>
    <w:lvl w:ilvl="0" w:tplc="33DCE064">
      <w:start w:val="1"/>
      <w:numFmt w:val="upperRoman"/>
      <w:lvlText w:val="%1."/>
      <w:lvlJc w:val="left"/>
      <w:pPr>
        <w:ind w:left="92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25" w15:restartNumberingAfterBreak="0">
    <w:nsid w:val="56676EB9"/>
    <w:multiLevelType w:val="hybridMultilevel"/>
    <w:tmpl w:val="56767412"/>
    <w:lvl w:ilvl="0" w:tplc="5DC8395C">
      <w:start w:val="1"/>
      <w:numFmt w:val="upperRoman"/>
      <w:lvlText w:val="%1."/>
      <w:lvlJc w:val="left"/>
      <w:pPr>
        <w:ind w:left="720" w:hanging="360"/>
      </w:pPr>
      <w:rPr>
        <w:rFonts w:ascii="Avant Garde" w:hAnsi="Avant Garde" w:hint="default"/>
        <w:b/>
        <w:i w:val="0"/>
        <w:strike w:val="0"/>
        <w:dstrike w:val="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717668E"/>
    <w:multiLevelType w:val="hybridMultilevel"/>
    <w:tmpl w:val="BB424D18"/>
    <w:lvl w:ilvl="0" w:tplc="FBAA4312">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576D2F3B"/>
    <w:multiLevelType w:val="hybridMultilevel"/>
    <w:tmpl w:val="3FC2510E"/>
    <w:lvl w:ilvl="0" w:tplc="FEFC8D2E">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15:restartNumberingAfterBreak="0">
    <w:nsid w:val="5E510E50"/>
    <w:multiLevelType w:val="hybridMultilevel"/>
    <w:tmpl w:val="432AF1DA"/>
    <w:lvl w:ilvl="0" w:tplc="EC0ADA2C">
      <w:start w:val="1"/>
      <w:numFmt w:val="upperRoman"/>
      <w:lvlText w:val="%1."/>
      <w:lvlJc w:val="left"/>
      <w:pPr>
        <w:ind w:left="1428" w:hanging="360"/>
      </w:pPr>
      <w:rPr>
        <w:rFonts w:ascii="Avant Garde" w:hAnsi="Avant Garde" w:hint="default"/>
        <w:b/>
        <w:i w:val="0"/>
        <w:strike w:val="0"/>
        <w:dstrike w:val="0"/>
        <w:sz w:val="22"/>
        <w:szCs w:val="22"/>
      </w:rPr>
    </w:lvl>
    <w:lvl w:ilvl="1" w:tplc="040A0019" w:tentative="1">
      <w:start w:val="1"/>
      <w:numFmt w:val="lowerLetter"/>
      <w:lvlText w:val="%2."/>
      <w:lvlJc w:val="left"/>
      <w:pPr>
        <w:ind w:left="2148" w:hanging="360"/>
      </w:pPr>
    </w:lvl>
    <w:lvl w:ilvl="2" w:tplc="040A001B" w:tentative="1">
      <w:start w:val="1"/>
      <w:numFmt w:val="lowerRoman"/>
      <w:lvlText w:val="%3."/>
      <w:lvlJc w:val="right"/>
      <w:pPr>
        <w:ind w:left="2868" w:hanging="180"/>
      </w:pPr>
    </w:lvl>
    <w:lvl w:ilvl="3" w:tplc="040A000F" w:tentative="1">
      <w:start w:val="1"/>
      <w:numFmt w:val="decimal"/>
      <w:lvlText w:val="%4."/>
      <w:lvlJc w:val="left"/>
      <w:pPr>
        <w:ind w:left="3588" w:hanging="360"/>
      </w:pPr>
    </w:lvl>
    <w:lvl w:ilvl="4" w:tplc="040A0019" w:tentative="1">
      <w:start w:val="1"/>
      <w:numFmt w:val="lowerLetter"/>
      <w:lvlText w:val="%5."/>
      <w:lvlJc w:val="left"/>
      <w:pPr>
        <w:ind w:left="4308" w:hanging="360"/>
      </w:pPr>
    </w:lvl>
    <w:lvl w:ilvl="5" w:tplc="040A001B" w:tentative="1">
      <w:start w:val="1"/>
      <w:numFmt w:val="lowerRoman"/>
      <w:lvlText w:val="%6."/>
      <w:lvlJc w:val="right"/>
      <w:pPr>
        <w:ind w:left="5028" w:hanging="180"/>
      </w:pPr>
    </w:lvl>
    <w:lvl w:ilvl="6" w:tplc="040A000F" w:tentative="1">
      <w:start w:val="1"/>
      <w:numFmt w:val="decimal"/>
      <w:lvlText w:val="%7."/>
      <w:lvlJc w:val="left"/>
      <w:pPr>
        <w:ind w:left="5748" w:hanging="360"/>
      </w:pPr>
    </w:lvl>
    <w:lvl w:ilvl="7" w:tplc="040A0019" w:tentative="1">
      <w:start w:val="1"/>
      <w:numFmt w:val="lowerLetter"/>
      <w:lvlText w:val="%8."/>
      <w:lvlJc w:val="left"/>
      <w:pPr>
        <w:ind w:left="6468" w:hanging="360"/>
      </w:pPr>
    </w:lvl>
    <w:lvl w:ilvl="8" w:tplc="040A001B" w:tentative="1">
      <w:start w:val="1"/>
      <w:numFmt w:val="lowerRoman"/>
      <w:lvlText w:val="%9."/>
      <w:lvlJc w:val="right"/>
      <w:pPr>
        <w:ind w:left="7188" w:hanging="180"/>
      </w:pPr>
    </w:lvl>
  </w:abstractNum>
  <w:abstractNum w:abstractNumId="29" w15:restartNumberingAfterBreak="0">
    <w:nsid w:val="61246C77"/>
    <w:multiLevelType w:val="hybridMultilevel"/>
    <w:tmpl w:val="3B6C0E4C"/>
    <w:lvl w:ilvl="0" w:tplc="1DD61C76">
      <w:start w:val="1"/>
      <w:numFmt w:val="upperRoman"/>
      <w:lvlText w:val="%1."/>
      <w:lvlJc w:val="left"/>
      <w:pPr>
        <w:ind w:left="720" w:hanging="360"/>
      </w:pPr>
      <w:rPr>
        <w:rFonts w:ascii="Arial" w:hAnsi="Arial" w:hint="default"/>
        <w:b/>
        <w:i w:val="0"/>
        <w:strike w:val="0"/>
        <w:dstrike w:val="0"/>
        <w:sz w:val="24"/>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5F12A2B"/>
    <w:multiLevelType w:val="hybridMultilevel"/>
    <w:tmpl w:val="0932396A"/>
    <w:lvl w:ilvl="0" w:tplc="040A0013">
      <w:start w:val="1"/>
      <w:numFmt w:val="upperRoman"/>
      <w:lvlText w:val="%1."/>
      <w:lvlJc w:val="right"/>
      <w:pPr>
        <w:ind w:left="720" w:hanging="360"/>
      </w:pPr>
    </w:lvl>
    <w:lvl w:ilvl="1" w:tplc="242E69B6">
      <w:start w:val="1"/>
      <w:numFmt w:val="lowerLetter"/>
      <w:lvlText w:val="%2)"/>
      <w:lvlJc w:val="left"/>
      <w:pPr>
        <w:ind w:left="1440" w:hanging="360"/>
      </w:pPr>
      <w:rPr>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15:restartNumberingAfterBreak="0">
    <w:nsid w:val="673B06AA"/>
    <w:multiLevelType w:val="hybridMultilevel"/>
    <w:tmpl w:val="22CAEC5C"/>
    <w:lvl w:ilvl="0" w:tplc="07AA82A4">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2" w15:restartNumberingAfterBreak="0">
    <w:nsid w:val="68960716"/>
    <w:multiLevelType w:val="hybridMultilevel"/>
    <w:tmpl w:val="2A520ABC"/>
    <w:lvl w:ilvl="0" w:tplc="18281BAA">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3" w15:restartNumberingAfterBreak="0">
    <w:nsid w:val="697F04A2"/>
    <w:multiLevelType w:val="hybridMultilevel"/>
    <w:tmpl w:val="E4E602AE"/>
    <w:lvl w:ilvl="0" w:tplc="9488CF64">
      <w:start w:val="1"/>
      <w:numFmt w:val="low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4" w15:restartNumberingAfterBreak="0">
    <w:nsid w:val="6C926014"/>
    <w:multiLevelType w:val="hybridMultilevel"/>
    <w:tmpl w:val="735E480C"/>
    <w:lvl w:ilvl="0" w:tplc="694845B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5" w15:restartNumberingAfterBreak="0">
    <w:nsid w:val="705E2776"/>
    <w:multiLevelType w:val="hybridMultilevel"/>
    <w:tmpl w:val="9E640616"/>
    <w:lvl w:ilvl="0" w:tplc="BF1667EA">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6" w15:restartNumberingAfterBreak="0">
    <w:nsid w:val="71273AF4"/>
    <w:multiLevelType w:val="hybridMultilevel"/>
    <w:tmpl w:val="4D4A6CA0"/>
    <w:lvl w:ilvl="0" w:tplc="9D6E067C">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7" w15:restartNumberingAfterBreak="0">
    <w:nsid w:val="716164DC"/>
    <w:multiLevelType w:val="hybridMultilevel"/>
    <w:tmpl w:val="FA6A41E0"/>
    <w:lvl w:ilvl="0" w:tplc="A740CE1E">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8" w15:restartNumberingAfterBreak="0">
    <w:nsid w:val="717D233E"/>
    <w:multiLevelType w:val="hybridMultilevel"/>
    <w:tmpl w:val="0052B61E"/>
    <w:lvl w:ilvl="0" w:tplc="BF0A6B0A">
      <w:start w:val="1"/>
      <w:numFmt w:val="low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9" w15:restartNumberingAfterBreak="0">
    <w:nsid w:val="754E0EB0"/>
    <w:multiLevelType w:val="hybridMultilevel"/>
    <w:tmpl w:val="72443C0A"/>
    <w:lvl w:ilvl="0" w:tplc="DB6C6DD0">
      <w:start w:val="1"/>
      <w:numFmt w:val="upperRoman"/>
      <w:lvlText w:val="%1."/>
      <w:lvlJc w:val="right"/>
      <w:pPr>
        <w:ind w:left="720" w:hanging="360"/>
      </w:pPr>
      <w:rPr>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0" w15:restartNumberingAfterBreak="0">
    <w:nsid w:val="756A4265"/>
    <w:multiLevelType w:val="hybridMultilevel"/>
    <w:tmpl w:val="4F04A230"/>
    <w:lvl w:ilvl="0" w:tplc="85CC67A2">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1" w15:restartNumberingAfterBreak="0">
    <w:nsid w:val="764C0947"/>
    <w:multiLevelType w:val="hybridMultilevel"/>
    <w:tmpl w:val="21C28574"/>
    <w:lvl w:ilvl="0" w:tplc="1354D47A">
      <w:start w:val="1"/>
      <w:numFmt w:val="upperRoman"/>
      <w:lvlText w:val="%1."/>
      <w:lvlJc w:val="left"/>
      <w:pPr>
        <w:ind w:left="720" w:hanging="360"/>
      </w:pPr>
      <w:rPr>
        <w:rFonts w:ascii="Avant Garde" w:hAnsi="Avant Garde" w:hint="default"/>
        <w:b/>
        <w:i w:val="0"/>
        <w:strike w:val="0"/>
        <w:dstrike w:val="0"/>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2" w15:restartNumberingAfterBreak="0">
    <w:nsid w:val="78FF2888"/>
    <w:multiLevelType w:val="hybridMultilevel"/>
    <w:tmpl w:val="712400DA"/>
    <w:lvl w:ilvl="0" w:tplc="2D3CC51A">
      <w:start w:val="1"/>
      <w:numFmt w:val="upperRoman"/>
      <w:lvlText w:val="%1."/>
      <w:lvlJc w:val="left"/>
      <w:pPr>
        <w:ind w:left="1068" w:hanging="360"/>
      </w:pPr>
      <w:rPr>
        <w:rFonts w:ascii="Avant Garde" w:hAnsi="Avant Garde" w:hint="default"/>
        <w:b/>
        <w:i w:val="0"/>
        <w:strike w:val="0"/>
        <w:dstrike w:val="0"/>
        <w:sz w:val="22"/>
        <w:szCs w:val="22"/>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43" w15:restartNumberingAfterBreak="0">
    <w:nsid w:val="7BA537F2"/>
    <w:multiLevelType w:val="hybridMultilevel"/>
    <w:tmpl w:val="B6D466E0"/>
    <w:lvl w:ilvl="0" w:tplc="040A0013">
      <w:start w:val="1"/>
      <w:numFmt w:val="upperRoman"/>
      <w:lvlText w:val="%1."/>
      <w:lvlJc w:val="right"/>
      <w:pPr>
        <w:ind w:left="720" w:hanging="360"/>
      </w:pPr>
    </w:lvl>
    <w:lvl w:ilvl="1" w:tplc="10AE3238">
      <w:start w:val="1"/>
      <w:numFmt w:val="lowerLetter"/>
      <w:lvlText w:val="%2)"/>
      <w:lvlJc w:val="left"/>
      <w:pPr>
        <w:ind w:left="1440" w:hanging="360"/>
      </w:pPr>
      <w:rPr>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4" w15:restartNumberingAfterBreak="0">
    <w:nsid w:val="7F0A7966"/>
    <w:multiLevelType w:val="hybridMultilevel"/>
    <w:tmpl w:val="D2E2DD1C"/>
    <w:lvl w:ilvl="0" w:tplc="20721540">
      <w:start w:val="1"/>
      <w:numFmt w:val="upperRoman"/>
      <w:lvlText w:val="%1."/>
      <w:lvlJc w:val="left"/>
      <w:pPr>
        <w:ind w:left="1428" w:hanging="360"/>
      </w:pPr>
      <w:rPr>
        <w:rFonts w:ascii="Avant Garde" w:hAnsi="Avant Garde" w:hint="default"/>
        <w:b/>
        <w:i w:val="0"/>
        <w:strike w:val="0"/>
        <w:dstrike w:val="0"/>
        <w:sz w:val="22"/>
        <w:szCs w:val="22"/>
      </w:rPr>
    </w:lvl>
    <w:lvl w:ilvl="1" w:tplc="040A0019" w:tentative="1">
      <w:start w:val="1"/>
      <w:numFmt w:val="lowerLetter"/>
      <w:lvlText w:val="%2."/>
      <w:lvlJc w:val="left"/>
      <w:pPr>
        <w:ind w:left="2148" w:hanging="360"/>
      </w:pPr>
    </w:lvl>
    <w:lvl w:ilvl="2" w:tplc="040A001B" w:tentative="1">
      <w:start w:val="1"/>
      <w:numFmt w:val="lowerRoman"/>
      <w:lvlText w:val="%3."/>
      <w:lvlJc w:val="right"/>
      <w:pPr>
        <w:ind w:left="2868" w:hanging="180"/>
      </w:pPr>
    </w:lvl>
    <w:lvl w:ilvl="3" w:tplc="040A000F" w:tentative="1">
      <w:start w:val="1"/>
      <w:numFmt w:val="decimal"/>
      <w:lvlText w:val="%4."/>
      <w:lvlJc w:val="left"/>
      <w:pPr>
        <w:ind w:left="3588" w:hanging="360"/>
      </w:pPr>
    </w:lvl>
    <w:lvl w:ilvl="4" w:tplc="040A0019" w:tentative="1">
      <w:start w:val="1"/>
      <w:numFmt w:val="lowerLetter"/>
      <w:lvlText w:val="%5."/>
      <w:lvlJc w:val="left"/>
      <w:pPr>
        <w:ind w:left="4308" w:hanging="360"/>
      </w:pPr>
    </w:lvl>
    <w:lvl w:ilvl="5" w:tplc="040A001B" w:tentative="1">
      <w:start w:val="1"/>
      <w:numFmt w:val="lowerRoman"/>
      <w:lvlText w:val="%6."/>
      <w:lvlJc w:val="right"/>
      <w:pPr>
        <w:ind w:left="5028" w:hanging="180"/>
      </w:pPr>
    </w:lvl>
    <w:lvl w:ilvl="6" w:tplc="040A000F" w:tentative="1">
      <w:start w:val="1"/>
      <w:numFmt w:val="decimal"/>
      <w:lvlText w:val="%7."/>
      <w:lvlJc w:val="left"/>
      <w:pPr>
        <w:ind w:left="5748" w:hanging="360"/>
      </w:pPr>
    </w:lvl>
    <w:lvl w:ilvl="7" w:tplc="040A0019" w:tentative="1">
      <w:start w:val="1"/>
      <w:numFmt w:val="lowerLetter"/>
      <w:lvlText w:val="%8."/>
      <w:lvlJc w:val="left"/>
      <w:pPr>
        <w:ind w:left="6468" w:hanging="360"/>
      </w:pPr>
    </w:lvl>
    <w:lvl w:ilvl="8" w:tplc="040A001B" w:tentative="1">
      <w:start w:val="1"/>
      <w:numFmt w:val="lowerRoman"/>
      <w:lvlText w:val="%9."/>
      <w:lvlJc w:val="right"/>
      <w:pPr>
        <w:ind w:left="7188" w:hanging="180"/>
      </w:pPr>
    </w:lvl>
  </w:abstractNum>
  <w:num w:numId="1">
    <w:abstractNumId w:val="10"/>
  </w:num>
  <w:num w:numId="2">
    <w:abstractNumId w:val="0"/>
  </w:num>
  <w:num w:numId="3">
    <w:abstractNumId w:val="41"/>
  </w:num>
  <w:num w:numId="4">
    <w:abstractNumId w:val="20"/>
  </w:num>
  <w:num w:numId="5">
    <w:abstractNumId w:val="1"/>
  </w:num>
  <w:num w:numId="6">
    <w:abstractNumId w:val="6"/>
  </w:num>
  <w:num w:numId="7">
    <w:abstractNumId w:val="39"/>
  </w:num>
  <w:num w:numId="8">
    <w:abstractNumId w:val="22"/>
  </w:num>
  <w:num w:numId="9">
    <w:abstractNumId w:val="13"/>
  </w:num>
  <w:num w:numId="10">
    <w:abstractNumId w:val="12"/>
  </w:num>
  <w:num w:numId="11">
    <w:abstractNumId w:val="30"/>
  </w:num>
  <w:num w:numId="12">
    <w:abstractNumId w:val="43"/>
  </w:num>
  <w:num w:numId="13">
    <w:abstractNumId w:val="23"/>
  </w:num>
  <w:num w:numId="14">
    <w:abstractNumId w:val="40"/>
  </w:num>
  <w:num w:numId="15">
    <w:abstractNumId w:val="27"/>
  </w:num>
  <w:num w:numId="16">
    <w:abstractNumId w:val="32"/>
  </w:num>
  <w:num w:numId="17">
    <w:abstractNumId w:val="18"/>
  </w:num>
  <w:num w:numId="18">
    <w:abstractNumId w:val="29"/>
  </w:num>
  <w:num w:numId="19">
    <w:abstractNumId w:val="36"/>
  </w:num>
  <w:num w:numId="20">
    <w:abstractNumId w:val="2"/>
  </w:num>
  <w:num w:numId="21">
    <w:abstractNumId w:val="42"/>
  </w:num>
  <w:num w:numId="22">
    <w:abstractNumId w:val="15"/>
  </w:num>
  <w:num w:numId="23">
    <w:abstractNumId w:val="44"/>
  </w:num>
  <w:num w:numId="24">
    <w:abstractNumId w:val="26"/>
  </w:num>
  <w:num w:numId="25">
    <w:abstractNumId w:val="28"/>
  </w:num>
  <w:num w:numId="26">
    <w:abstractNumId w:val="24"/>
  </w:num>
  <w:num w:numId="27">
    <w:abstractNumId w:val="21"/>
  </w:num>
  <w:num w:numId="28">
    <w:abstractNumId w:val="19"/>
  </w:num>
  <w:num w:numId="29">
    <w:abstractNumId w:val="31"/>
  </w:num>
  <w:num w:numId="30">
    <w:abstractNumId w:val="9"/>
  </w:num>
  <w:num w:numId="31">
    <w:abstractNumId w:val="16"/>
  </w:num>
  <w:num w:numId="32">
    <w:abstractNumId w:val="14"/>
  </w:num>
  <w:num w:numId="33">
    <w:abstractNumId w:val="35"/>
  </w:num>
  <w:num w:numId="34">
    <w:abstractNumId w:val="34"/>
  </w:num>
  <w:num w:numId="35">
    <w:abstractNumId w:val="37"/>
  </w:num>
  <w:num w:numId="36">
    <w:abstractNumId w:val="17"/>
  </w:num>
  <w:num w:numId="37">
    <w:abstractNumId w:val="3"/>
  </w:num>
  <w:num w:numId="38">
    <w:abstractNumId w:val="25"/>
  </w:num>
  <w:num w:numId="39">
    <w:abstractNumId w:val="11"/>
  </w:num>
  <w:num w:numId="40">
    <w:abstractNumId w:val="7"/>
  </w:num>
  <w:num w:numId="41">
    <w:abstractNumId w:val="8"/>
  </w:num>
  <w:num w:numId="42">
    <w:abstractNumId w:val="5"/>
  </w:num>
  <w:num w:numId="43">
    <w:abstractNumId w:val="38"/>
  </w:num>
  <w:num w:numId="44">
    <w:abstractNumId w:val="33"/>
  </w:num>
  <w:num w:numId="45">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47E"/>
    <w:rsid w:val="00011D3E"/>
    <w:rsid w:val="00013DAD"/>
    <w:rsid w:val="0001529E"/>
    <w:rsid w:val="000159C2"/>
    <w:rsid w:val="00017B6A"/>
    <w:rsid w:val="000207CA"/>
    <w:rsid w:val="00027B69"/>
    <w:rsid w:val="00030E1A"/>
    <w:rsid w:val="00035B57"/>
    <w:rsid w:val="00041836"/>
    <w:rsid w:val="00042F86"/>
    <w:rsid w:val="000440B1"/>
    <w:rsid w:val="00044A50"/>
    <w:rsid w:val="0005067C"/>
    <w:rsid w:val="00051FBD"/>
    <w:rsid w:val="00060C02"/>
    <w:rsid w:val="0006151B"/>
    <w:rsid w:val="0006547E"/>
    <w:rsid w:val="00066B8F"/>
    <w:rsid w:val="000677A2"/>
    <w:rsid w:val="00070EA1"/>
    <w:rsid w:val="00071CD2"/>
    <w:rsid w:val="00076611"/>
    <w:rsid w:val="00091F0C"/>
    <w:rsid w:val="00096AA9"/>
    <w:rsid w:val="00097B0D"/>
    <w:rsid w:val="000A47CE"/>
    <w:rsid w:val="000A64C4"/>
    <w:rsid w:val="000C45FB"/>
    <w:rsid w:val="000D5650"/>
    <w:rsid w:val="000E2E51"/>
    <w:rsid w:val="000E2E5B"/>
    <w:rsid w:val="000E3363"/>
    <w:rsid w:val="000F3AC0"/>
    <w:rsid w:val="001007A8"/>
    <w:rsid w:val="001017E7"/>
    <w:rsid w:val="001060FA"/>
    <w:rsid w:val="00115C0A"/>
    <w:rsid w:val="001253BA"/>
    <w:rsid w:val="00133E0A"/>
    <w:rsid w:val="00135657"/>
    <w:rsid w:val="001361BA"/>
    <w:rsid w:val="0014445A"/>
    <w:rsid w:val="001468FE"/>
    <w:rsid w:val="00147485"/>
    <w:rsid w:val="00150B5C"/>
    <w:rsid w:val="00161256"/>
    <w:rsid w:val="001708E1"/>
    <w:rsid w:val="0017316C"/>
    <w:rsid w:val="00181EE8"/>
    <w:rsid w:val="0018720A"/>
    <w:rsid w:val="0018748A"/>
    <w:rsid w:val="00194B09"/>
    <w:rsid w:val="00195FA4"/>
    <w:rsid w:val="0019679C"/>
    <w:rsid w:val="001A4B94"/>
    <w:rsid w:val="001A68CF"/>
    <w:rsid w:val="001B1B46"/>
    <w:rsid w:val="001B1F45"/>
    <w:rsid w:val="001B2666"/>
    <w:rsid w:val="001B6943"/>
    <w:rsid w:val="001B7525"/>
    <w:rsid w:val="001C184C"/>
    <w:rsid w:val="001C3687"/>
    <w:rsid w:val="001C4076"/>
    <w:rsid w:val="001C427B"/>
    <w:rsid w:val="001D3ECE"/>
    <w:rsid w:val="001D5DA3"/>
    <w:rsid w:val="001E2106"/>
    <w:rsid w:val="001E44CA"/>
    <w:rsid w:val="001F183F"/>
    <w:rsid w:val="001F239F"/>
    <w:rsid w:val="001F3773"/>
    <w:rsid w:val="00205149"/>
    <w:rsid w:val="00210EF1"/>
    <w:rsid w:val="0021193F"/>
    <w:rsid w:val="00213782"/>
    <w:rsid w:val="00215AA5"/>
    <w:rsid w:val="0021681D"/>
    <w:rsid w:val="0023072E"/>
    <w:rsid w:val="0023248B"/>
    <w:rsid w:val="00232680"/>
    <w:rsid w:val="002331AE"/>
    <w:rsid w:val="00237E76"/>
    <w:rsid w:val="00242A32"/>
    <w:rsid w:val="0024454A"/>
    <w:rsid w:val="00245786"/>
    <w:rsid w:val="00252B7B"/>
    <w:rsid w:val="00260890"/>
    <w:rsid w:val="00261C62"/>
    <w:rsid w:val="0026467B"/>
    <w:rsid w:val="00266A80"/>
    <w:rsid w:val="0027311A"/>
    <w:rsid w:val="00277B42"/>
    <w:rsid w:val="00290E0A"/>
    <w:rsid w:val="0029545B"/>
    <w:rsid w:val="00296709"/>
    <w:rsid w:val="0029722E"/>
    <w:rsid w:val="002A325A"/>
    <w:rsid w:val="002B46F4"/>
    <w:rsid w:val="002C304E"/>
    <w:rsid w:val="002D24F6"/>
    <w:rsid w:val="002D5726"/>
    <w:rsid w:val="002D76D0"/>
    <w:rsid w:val="002E5159"/>
    <w:rsid w:val="002E6468"/>
    <w:rsid w:val="002E6EA3"/>
    <w:rsid w:val="002F1B75"/>
    <w:rsid w:val="002F5355"/>
    <w:rsid w:val="00300A2C"/>
    <w:rsid w:val="00301B1D"/>
    <w:rsid w:val="003033F0"/>
    <w:rsid w:val="00303C83"/>
    <w:rsid w:val="003044D3"/>
    <w:rsid w:val="00305AE0"/>
    <w:rsid w:val="00306823"/>
    <w:rsid w:val="00307D2A"/>
    <w:rsid w:val="00312AEB"/>
    <w:rsid w:val="0031400C"/>
    <w:rsid w:val="00315D14"/>
    <w:rsid w:val="003267A4"/>
    <w:rsid w:val="00330503"/>
    <w:rsid w:val="00330977"/>
    <w:rsid w:val="003333FD"/>
    <w:rsid w:val="0033450B"/>
    <w:rsid w:val="00334D0C"/>
    <w:rsid w:val="00335C70"/>
    <w:rsid w:val="00336688"/>
    <w:rsid w:val="00337D8D"/>
    <w:rsid w:val="00344CC8"/>
    <w:rsid w:val="00351F35"/>
    <w:rsid w:val="00355A93"/>
    <w:rsid w:val="003609B4"/>
    <w:rsid w:val="003620A8"/>
    <w:rsid w:val="00366AF4"/>
    <w:rsid w:val="0037064F"/>
    <w:rsid w:val="00374620"/>
    <w:rsid w:val="003747E0"/>
    <w:rsid w:val="0038385E"/>
    <w:rsid w:val="003927E4"/>
    <w:rsid w:val="00395A30"/>
    <w:rsid w:val="003B0337"/>
    <w:rsid w:val="003B1133"/>
    <w:rsid w:val="003B15E8"/>
    <w:rsid w:val="003B1656"/>
    <w:rsid w:val="003B4E12"/>
    <w:rsid w:val="003C2ECE"/>
    <w:rsid w:val="003C3891"/>
    <w:rsid w:val="003C64C1"/>
    <w:rsid w:val="003C712F"/>
    <w:rsid w:val="003D00EB"/>
    <w:rsid w:val="003D1367"/>
    <w:rsid w:val="003D4725"/>
    <w:rsid w:val="003E167C"/>
    <w:rsid w:val="003E4E69"/>
    <w:rsid w:val="003F0AC5"/>
    <w:rsid w:val="003F1193"/>
    <w:rsid w:val="003F17D5"/>
    <w:rsid w:val="003F2217"/>
    <w:rsid w:val="003F250B"/>
    <w:rsid w:val="004013EF"/>
    <w:rsid w:val="004102DD"/>
    <w:rsid w:val="00414BD8"/>
    <w:rsid w:val="00422934"/>
    <w:rsid w:val="00425406"/>
    <w:rsid w:val="00430D21"/>
    <w:rsid w:val="004347E7"/>
    <w:rsid w:val="00437AF1"/>
    <w:rsid w:val="00440380"/>
    <w:rsid w:val="00440C35"/>
    <w:rsid w:val="00450FC5"/>
    <w:rsid w:val="00454268"/>
    <w:rsid w:val="0045697F"/>
    <w:rsid w:val="00463D82"/>
    <w:rsid w:val="004644E0"/>
    <w:rsid w:val="004646BC"/>
    <w:rsid w:val="00465533"/>
    <w:rsid w:val="00466104"/>
    <w:rsid w:val="004664DD"/>
    <w:rsid w:val="00467C53"/>
    <w:rsid w:val="00472395"/>
    <w:rsid w:val="004804D1"/>
    <w:rsid w:val="0048374E"/>
    <w:rsid w:val="00486E89"/>
    <w:rsid w:val="00493BA3"/>
    <w:rsid w:val="004A3489"/>
    <w:rsid w:val="004A5602"/>
    <w:rsid w:val="004A6030"/>
    <w:rsid w:val="004A6101"/>
    <w:rsid w:val="004A7276"/>
    <w:rsid w:val="004B14B8"/>
    <w:rsid w:val="004B1EDC"/>
    <w:rsid w:val="004B5D8C"/>
    <w:rsid w:val="004C2E3E"/>
    <w:rsid w:val="004D3743"/>
    <w:rsid w:val="004D6874"/>
    <w:rsid w:val="004D7268"/>
    <w:rsid w:val="004D7EA6"/>
    <w:rsid w:val="004E0074"/>
    <w:rsid w:val="004E2F5A"/>
    <w:rsid w:val="004F39ED"/>
    <w:rsid w:val="004F51B4"/>
    <w:rsid w:val="004F658F"/>
    <w:rsid w:val="004F7AB6"/>
    <w:rsid w:val="00504DD0"/>
    <w:rsid w:val="00511EEC"/>
    <w:rsid w:val="005215EE"/>
    <w:rsid w:val="00530B41"/>
    <w:rsid w:val="005317FF"/>
    <w:rsid w:val="005338B1"/>
    <w:rsid w:val="00534E35"/>
    <w:rsid w:val="00536260"/>
    <w:rsid w:val="00543281"/>
    <w:rsid w:val="00544EA3"/>
    <w:rsid w:val="005452AC"/>
    <w:rsid w:val="00545842"/>
    <w:rsid w:val="00550B06"/>
    <w:rsid w:val="00552E17"/>
    <w:rsid w:val="00574110"/>
    <w:rsid w:val="00575894"/>
    <w:rsid w:val="005819AB"/>
    <w:rsid w:val="00586EFA"/>
    <w:rsid w:val="005901DE"/>
    <w:rsid w:val="005A1303"/>
    <w:rsid w:val="005A6078"/>
    <w:rsid w:val="005A7DEE"/>
    <w:rsid w:val="005B149B"/>
    <w:rsid w:val="005B5173"/>
    <w:rsid w:val="005C0C5C"/>
    <w:rsid w:val="005C256E"/>
    <w:rsid w:val="005D24F5"/>
    <w:rsid w:val="005D3E35"/>
    <w:rsid w:val="005E0317"/>
    <w:rsid w:val="005E08D1"/>
    <w:rsid w:val="005E3855"/>
    <w:rsid w:val="005F6414"/>
    <w:rsid w:val="00601056"/>
    <w:rsid w:val="00607CC3"/>
    <w:rsid w:val="006100D7"/>
    <w:rsid w:val="00614AC1"/>
    <w:rsid w:val="00615BC2"/>
    <w:rsid w:val="00617375"/>
    <w:rsid w:val="00622E5B"/>
    <w:rsid w:val="006321AD"/>
    <w:rsid w:val="00633BC3"/>
    <w:rsid w:val="00653556"/>
    <w:rsid w:val="0065677D"/>
    <w:rsid w:val="006601D9"/>
    <w:rsid w:val="00662D34"/>
    <w:rsid w:val="006667ED"/>
    <w:rsid w:val="00667B1B"/>
    <w:rsid w:val="00672606"/>
    <w:rsid w:val="00672860"/>
    <w:rsid w:val="00674481"/>
    <w:rsid w:val="006768B6"/>
    <w:rsid w:val="00680CFD"/>
    <w:rsid w:val="006849DF"/>
    <w:rsid w:val="00684A45"/>
    <w:rsid w:val="00685D38"/>
    <w:rsid w:val="006870A3"/>
    <w:rsid w:val="006924D6"/>
    <w:rsid w:val="00693125"/>
    <w:rsid w:val="006A5805"/>
    <w:rsid w:val="006B0879"/>
    <w:rsid w:val="006B1051"/>
    <w:rsid w:val="006B5CDD"/>
    <w:rsid w:val="006C0F06"/>
    <w:rsid w:val="006C4207"/>
    <w:rsid w:val="006C76DA"/>
    <w:rsid w:val="006D2D80"/>
    <w:rsid w:val="006D3926"/>
    <w:rsid w:val="006D4DE9"/>
    <w:rsid w:val="006D7B40"/>
    <w:rsid w:val="006E0880"/>
    <w:rsid w:val="006E4FDE"/>
    <w:rsid w:val="006F1FAC"/>
    <w:rsid w:val="006F26E2"/>
    <w:rsid w:val="006F374D"/>
    <w:rsid w:val="006F4C0B"/>
    <w:rsid w:val="006F6D39"/>
    <w:rsid w:val="007034DC"/>
    <w:rsid w:val="00713A8A"/>
    <w:rsid w:val="00714374"/>
    <w:rsid w:val="00715529"/>
    <w:rsid w:val="00715AFF"/>
    <w:rsid w:val="007224A1"/>
    <w:rsid w:val="00722535"/>
    <w:rsid w:val="0072417E"/>
    <w:rsid w:val="00724F67"/>
    <w:rsid w:val="00731ADB"/>
    <w:rsid w:val="0073722A"/>
    <w:rsid w:val="00742AD8"/>
    <w:rsid w:val="00744326"/>
    <w:rsid w:val="00744C5F"/>
    <w:rsid w:val="00744C78"/>
    <w:rsid w:val="00746AE9"/>
    <w:rsid w:val="00750B97"/>
    <w:rsid w:val="00751EF6"/>
    <w:rsid w:val="00752DC2"/>
    <w:rsid w:val="0076099C"/>
    <w:rsid w:val="0076144C"/>
    <w:rsid w:val="007654CB"/>
    <w:rsid w:val="00770C6B"/>
    <w:rsid w:val="00770C9C"/>
    <w:rsid w:val="00773E95"/>
    <w:rsid w:val="00774BE0"/>
    <w:rsid w:val="007755FD"/>
    <w:rsid w:val="007769ED"/>
    <w:rsid w:val="00777536"/>
    <w:rsid w:val="007801B9"/>
    <w:rsid w:val="0078416A"/>
    <w:rsid w:val="007864BD"/>
    <w:rsid w:val="0078713F"/>
    <w:rsid w:val="007876DC"/>
    <w:rsid w:val="00793746"/>
    <w:rsid w:val="00793E7D"/>
    <w:rsid w:val="00793EBD"/>
    <w:rsid w:val="00793F87"/>
    <w:rsid w:val="00794506"/>
    <w:rsid w:val="00796FA3"/>
    <w:rsid w:val="007A0918"/>
    <w:rsid w:val="007A4C89"/>
    <w:rsid w:val="007B0F69"/>
    <w:rsid w:val="007B1D80"/>
    <w:rsid w:val="007B210F"/>
    <w:rsid w:val="007B3D36"/>
    <w:rsid w:val="007B7F82"/>
    <w:rsid w:val="007C0797"/>
    <w:rsid w:val="007C1DBB"/>
    <w:rsid w:val="007C6F68"/>
    <w:rsid w:val="007D36AB"/>
    <w:rsid w:val="007D6E97"/>
    <w:rsid w:val="007D7F6C"/>
    <w:rsid w:val="007E00E5"/>
    <w:rsid w:val="007E4D98"/>
    <w:rsid w:val="007E53FF"/>
    <w:rsid w:val="007E68EF"/>
    <w:rsid w:val="007E69FC"/>
    <w:rsid w:val="007E736B"/>
    <w:rsid w:val="007F3719"/>
    <w:rsid w:val="007F44FD"/>
    <w:rsid w:val="007F5D36"/>
    <w:rsid w:val="007F63E6"/>
    <w:rsid w:val="0080408D"/>
    <w:rsid w:val="0081068F"/>
    <w:rsid w:val="008238BD"/>
    <w:rsid w:val="00827BF6"/>
    <w:rsid w:val="008340EF"/>
    <w:rsid w:val="00837985"/>
    <w:rsid w:val="00844CF9"/>
    <w:rsid w:val="00846609"/>
    <w:rsid w:val="00847537"/>
    <w:rsid w:val="0085064E"/>
    <w:rsid w:val="00850736"/>
    <w:rsid w:val="00852BCD"/>
    <w:rsid w:val="008538AC"/>
    <w:rsid w:val="00855AC9"/>
    <w:rsid w:val="00856676"/>
    <w:rsid w:val="00856F38"/>
    <w:rsid w:val="00864068"/>
    <w:rsid w:val="00867E56"/>
    <w:rsid w:val="00875DE0"/>
    <w:rsid w:val="008815C6"/>
    <w:rsid w:val="00887234"/>
    <w:rsid w:val="00887DB2"/>
    <w:rsid w:val="0089125E"/>
    <w:rsid w:val="008960A0"/>
    <w:rsid w:val="008A679E"/>
    <w:rsid w:val="008A6A35"/>
    <w:rsid w:val="008A6ED4"/>
    <w:rsid w:val="008A7C65"/>
    <w:rsid w:val="008B158F"/>
    <w:rsid w:val="008B696E"/>
    <w:rsid w:val="008C6D53"/>
    <w:rsid w:val="008D01AD"/>
    <w:rsid w:val="008D1F35"/>
    <w:rsid w:val="008D5850"/>
    <w:rsid w:val="008D7CA8"/>
    <w:rsid w:val="008D7D4D"/>
    <w:rsid w:val="008D7D82"/>
    <w:rsid w:val="008E07A5"/>
    <w:rsid w:val="008E0CB3"/>
    <w:rsid w:val="008E3AF0"/>
    <w:rsid w:val="008E59D7"/>
    <w:rsid w:val="008F195F"/>
    <w:rsid w:val="008F38F5"/>
    <w:rsid w:val="008F3F1E"/>
    <w:rsid w:val="008F49D1"/>
    <w:rsid w:val="00901320"/>
    <w:rsid w:val="00905D66"/>
    <w:rsid w:val="0090642C"/>
    <w:rsid w:val="00907BFE"/>
    <w:rsid w:val="00907D96"/>
    <w:rsid w:val="009119AE"/>
    <w:rsid w:val="00916C82"/>
    <w:rsid w:val="0091758C"/>
    <w:rsid w:val="00924698"/>
    <w:rsid w:val="00931794"/>
    <w:rsid w:val="00932EC4"/>
    <w:rsid w:val="00935D69"/>
    <w:rsid w:val="00935F90"/>
    <w:rsid w:val="00936801"/>
    <w:rsid w:val="00943EA8"/>
    <w:rsid w:val="00944E02"/>
    <w:rsid w:val="00952A77"/>
    <w:rsid w:val="00955B66"/>
    <w:rsid w:val="009563E0"/>
    <w:rsid w:val="0096198D"/>
    <w:rsid w:val="0097176F"/>
    <w:rsid w:val="00972453"/>
    <w:rsid w:val="0097278E"/>
    <w:rsid w:val="00974858"/>
    <w:rsid w:val="00977225"/>
    <w:rsid w:val="009848C1"/>
    <w:rsid w:val="009849F2"/>
    <w:rsid w:val="00994383"/>
    <w:rsid w:val="00997513"/>
    <w:rsid w:val="009A2179"/>
    <w:rsid w:val="009A26FB"/>
    <w:rsid w:val="009A2E4D"/>
    <w:rsid w:val="009B650B"/>
    <w:rsid w:val="009C02CA"/>
    <w:rsid w:val="009C095F"/>
    <w:rsid w:val="009C74EC"/>
    <w:rsid w:val="009C79A2"/>
    <w:rsid w:val="009D0927"/>
    <w:rsid w:val="009D0D38"/>
    <w:rsid w:val="009D1197"/>
    <w:rsid w:val="009D4F58"/>
    <w:rsid w:val="009E6109"/>
    <w:rsid w:val="009F517A"/>
    <w:rsid w:val="00A11F0E"/>
    <w:rsid w:val="00A1200B"/>
    <w:rsid w:val="00A13C02"/>
    <w:rsid w:val="00A13C1F"/>
    <w:rsid w:val="00A15A4D"/>
    <w:rsid w:val="00A25151"/>
    <w:rsid w:val="00A27859"/>
    <w:rsid w:val="00A27AD9"/>
    <w:rsid w:val="00A3050D"/>
    <w:rsid w:val="00A30E01"/>
    <w:rsid w:val="00A33187"/>
    <w:rsid w:val="00A375FF"/>
    <w:rsid w:val="00A37BF8"/>
    <w:rsid w:val="00A4307D"/>
    <w:rsid w:val="00A54354"/>
    <w:rsid w:val="00A55A8B"/>
    <w:rsid w:val="00A577FD"/>
    <w:rsid w:val="00A57B38"/>
    <w:rsid w:val="00A67C59"/>
    <w:rsid w:val="00A77382"/>
    <w:rsid w:val="00A83C3C"/>
    <w:rsid w:val="00A86CBF"/>
    <w:rsid w:val="00A87703"/>
    <w:rsid w:val="00AA3FAF"/>
    <w:rsid w:val="00AA42B1"/>
    <w:rsid w:val="00AB1A24"/>
    <w:rsid w:val="00AB4A42"/>
    <w:rsid w:val="00AC25A9"/>
    <w:rsid w:val="00AC57D9"/>
    <w:rsid w:val="00AD0573"/>
    <w:rsid w:val="00AD5800"/>
    <w:rsid w:val="00AE0C47"/>
    <w:rsid w:val="00AE3C77"/>
    <w:rsid w:val="00AE5EA5"/>
    <w:rsid w:val="00AE62E9"/>
    <w:rsid w:val="00AE6F40"/>
    <w:rsid w:val="00B0180D"/>
    <w:rsid w:val="00B04149"/>
    <w:rsid w:val="00B047F9"/>
    <w:rsid w:val="00B1058B"/>
    <w:rsid w:val="00B11E44"/>
    <w:rsid w:val="00B14D4B"/>
    <w:rsid w:val="00B1678B"/>
    <w:rsid w:val="00B17A4F"/>
    <w:rsid w:val="00B214AF"/>
    <w:rsid w:val="00B2487C"/>
    <w:rsid w:val="00B32D7E"/>
    <w:rsid w:val="00B34D42"/>
    <w:rsid w:val="00B37922"/>
    <w:rsid w:val="00B41E9D"/>
    <w:rsid w:val="00B433FF"/>
    <w:rsid w:val="00B61267"/>
    <w:rsid w:val="00B63D94"/>
    <w:rsid w:val="00B72D63"/>
    <w:rsid w:val="00B73122"/>
    <w:rsid w:val="00B7721B"/>
    <w:rsid w:val="00B830CA"/>
    <w:rsid w:val="00B85CB2"/>
    <w:rsid w:val="00B9039D"/>
    <w:rsid w:val="00BA1FD0"/>
    <w:rsid w:val="00BA7B1B"/>
    <w:rsid w:val="00BB1BD5"/>
    <w:rsid w:val="00BB7132"/>
    <w:rsid w:val="00BB7533"/>
    <w:rsid w:val="00BC11C2"/>
    <w:rsid w:val="00BC1EF5"/>
    <w:rsid w:val="00BC3EFC"/>
    <w:rsid w:val="00BC4968"/>
    <w:rsid w:val="00BC4C37"/>
    <w:rsid w:val="00BC73C1"/>
    <w:rsid w:val="00BC79CD"/>
    <w:rsid w:val="00BC7CD3"/>
    <w:rsid w:val="00BD09CA"/>
    <w:rsid w:val="00BD1234"/>
    <w:rsid w:val="00BD3A79"/>
    <w:rsid w:val="00BD4529"/>
    <w:rsid w:val="00BD49FD"/>
    <w:rsid w:val="00BD59AA"/>
    <w:rsid w:val="00BE0178"/>
    <w:rsid w:val="00BE0CA4"/>
    <w:rsid w:val="00BE55F9"/>
    <w:rsid w:val="00BF2391"/>
    <w:rsid w:val="00BF59A7"/>
    <w:rsid w:val="00BF612D"/>
    <w:rsid w:val="00BF65D2"/>
    <w:rsid w:val="00BF714D"/>
    <w:rsid w:val="00C0530F"/>
    <w:rsid w:val="00C127AF"/>
    <w:rsid w:val="00C1794E"/>
    <w:rsid w:val="00C201AC"/>
    <w:rsid w:val="00C20923"/>
    <w:rsid w:val="00C30377"/>
    <w:rsid w:val="00C319F1"/>
    <w:rsid w:val="00C34D4D"/>
    <w:rsid w:val="00C3739B"/>
    <w:rsid w:val="00C40332"/>
    <w:rsid w:val="00C46BB1"/>
    <w:rsid w:val="00C5076C"/>
    <w:rsid w:val="00C52834"/>
    <w:rsid w:val="00C53FD7"/>
    <w:rsid w:val="00C53FE9"/>
    <w:rsid w:val="00C573BC"/>
    <w:rsid w:val="00C64198"/>
    <w:rsid w:val="00C72922"/>
    <w:rsid w:val="00C74F51"/>
    <w:rsid w:val="00C7507C"/>
    <w:rsid w:val="00C76747"/>
    <w:rsid w:val="00C774AF"/>
    <w:rsid w:val="00C83236"/>
    <w:rsid w:val="00C856EA"/>
    <w:rsid w:val="00C869B4"/>
    <w:rsid w:val="00C9395B"/>
    <w:rsid w:val="00C96F96"/>
    <w:rsid w:val="00CA0A88"/>
    <w:rsid w:val="00CA5898"/>
    <w:rsid w:val="00CA5AD4"/>
    <w:rsid w:val="00CB1038"/>
    <w:rsid w:val="00CB7378"/>
    <w:rsid w:val="00CB7C10"/>
    <w:rsid w:val="00CC301B"/>
    <w:rsid w:val="00CC44AB"/>
    <w:rsid w:val="00CD48E3"/>
    <w:rsid w:val="00CE7F13"/>
    <w:rsid w:val="00CF177F"/>
    <w:rsid w:val="00CF1986"/>
    <w:rsid w:val="00CF1C79"/>
    <w:rsid w:val="00D002D2"/>
    <w:rsid w:val="00D04744"/>
    <w:rsid w:val="00D12ACE"/>
    <w:rsid w:val="00D13BA8"/>
    <w:rsid w:val="00D1548A"/>
    <w:rsid w:val="00D16243"/>
    <w:rsid w:val="00D2066D"/>
    <w:rsid w:val="00D2316B"/>
    <w:rsid w:val="00D270ED"/>
    <w:rsid w:val="00D31DA0"/>
    <w:rsid w:val="00D325D2"/>
    <w:rsid w:val="00D40F04"/>
    <w:rsid w:val="00D47C03"/>
    <w:rsid w:val="00D5298E"/>
    <w:rsid w:val="00D545DD"/>
    <w:rsid w:val="00D63703"/>
    <w:rsid w:val="00D70166"/>
    <w:rsid w:val="00D70E70"/>
    <w:rsid w:val="00D762CE"/>
    <w:rsid w:val="00D82C78"/>
    <w:rsid w:val="00D84C87"/>
    <w:rsid w:val="00D84F88"/>
    <w:rsid w:val="00D85638"/>
    <w:rsid w:val="00D8682C"/>
    <w:rsid w:val="00D93C2A"/>
    <w:rsid w:val="00D96D3F"/>
    <w:rsid w:val="00DA151A"/>
    <w:rsid w:val="00DA1C57"/>
    <w:rsid w:val="00DA2143"/>
    <w:rsid w:val="00DA3176"/>
    <w:rsid w:val="00DA36DE"/>
    <w:rsid w:val="00DA3A70"/>
    <w:rsid w:val="00DA5DF1"/>
    <w:rsid w:val="00DB339C"/>
    <w:rsid w:val="00DB4469"/>
    <w:rsid w:val="00DB52A3"/>
    <w:rsid w:val="00DB76CB"/>
    <w:rsid w:val="00DC1473"/>
    <w:rsid w:val="00DC1BB6"/>
    <w:rsid w:val="00DC1E91"/>
    <w:rsid w:val="00DC2231"/>
    <w:rsid w:val="00DC699D"/>
    <w:rsid w:val="00DD0835"/>
    <w:rsid w:val="00DD13F9"/>
    <w:rsid w:val="00DD3F5E"/>
    <w:rsid w:val="00DD5782"/>
    <w:rsid w:val="00DE15C0"/>
    <w:rsid w:val="00DE3435"/>
    <w:rsid w:val="00DF4C3B"/>
    <w:rsid w:val="00DF5C0F"/>
    <w:rsid w:val="00DF6EC4"/>
    <w:rsid w:val="00DF6ECB"/>
    <w:rsid w:val="00DF71BF"/>
    <w:rsid w:val="00E01172"/>
    <w:rsid w:val="00E01A93"/>
    <w:rsid w:val="00E0445F"/>
    <w:rsid w:val="00E11D48"/>
    <w:rsid w:val="00E15175"/>
    <w:rsid w:val="00E17FEF"/>
    <w:rsid w:val="00E2067E"/>
    <w:rsid w:val="00E213E8"/>
    <w:rsid w:val="00E22157"/>
    <w:rsid w:val="00E2229E"/>
    <w:rsid w:val="00E26DD1"/>
    <w:rsid w:val="00E311AA"/>
    <w:rsid w:val="00E33C08"/>
    <w:rsid w:val="00E4225F"/>
    <w:rsid w:val="00E42FBE"/>
    <w:rsid w:val="00E43B35"/>
    <w:rsid w:val="00E4527C"/>
    <w:rsid w:val="00E46BDF"/>
    <w:rsid w:val="00E50AF5"/>
    <w:rsid w:val="00E573D2"/>
    <w:rsid w:val="00E64D05"/>
    <w:rsid w:val="00E651C5"/>
    <w:rsid w:val="00E65DBE"/>
    <w:rsid w:val="00E65DCE"/>
    <w:rsid w:val="00E7180C"/>
    <w:rsid w:val="00E75671"/>
    <w:rsid w:val="00E83827"/>
    <w:rsid w:val="00E8691B"/>
    <w:rsid w:val="00E9686B"/>
    <w:rsid w:val="00EA2653"/>
    <w:rsid w:val="00EB1287"/>
    <w:rsid w:val="00EC14E0"/>
    <w:rsid w:val="00EC41C3"/>
    <w:rsid w:val="00ED117C"/>
    <w:rsid w:val="00ED1555"/>
    <w:rsid w:val="00ED561D"/>
    <w:rsid w:val="00EE09AD"/>
    <w:rsid w:val="00EE3159"/>
    <w:rsid w:val="00EF6EC3"/>
    <w:rsid w:val="00F0262E"/>
    <w:rsid w:val="00F03D28"/>
    <w:rsid w:val="00F0571C"/>
    <w:rsid w:val="00F1045A"/>
    <w:rsid w:val="00F122C1"/>
    <w:rsid w:val="00F13D62"/>
    <w:rsid w:val="00F15972"/>
    <w:rsid w:val="00F27018"/>
    <w:rsid w:val="00F27DB7"/>
    <w:rsid w:val="00F312C4"/>
    <w:rsid w:val="00F33CB1"/>
    <w:rsid w:val="00F51168"/>
    <w:rsid w:val="00F51191"/>
    <w:rsid w:val="00F55C8C"/>
    <w:rsid w:val="00F573D6"/>
    <w:rsid w:val="00F64FD1"/>
    <w:rsid w:val="00F72067"/>
    <w:rsid w:val="00F72C99"/>
    <w:rsid w:val="00F74FB3"/>
    <w:rsid w:val="00F7577D"/>
    <w:rsid w:val="00F82505"/>
    <w:rsid w:val="00F83E0A"/>
    <w:rsid w:val="00F84B2F"/>
    <w:rsid w:val="00F85C90"/>
    <w:rsid w:val="00F86505"/>
    <w:rsid w:val="00F908FD"/>
    <w:rsid w:val="00F90FF2"/>
    <w:rsid w:val="00F93622"/>
    <w:rsid w:val="00F94A49"/>
    <w:rsid w:val="00F94BBB"/>
    <w:rsid w:val="00F97F1D"/>
    <w:rsid w:val="00FA4F1E"/>
    <w:rsid w:val="00FA5C55"/>
    <w:rsid w:val="00FA70EB"/>
    <w:rsid w:val="00FA71CB"/>
    <w:rsid w:val="00FB6B2A"/>
    <w:rsid w:val="00FC214D"/>
    <w:rsid w:val="00FD0AC2"/>
    <w:rsid w:val="00FE46D4"/>
    <w:rsid w:val="00FE5032"/>
    <w:rsid w:val="00FE6130"/>
    <w:rsid w:val="00FE77DA"/>
    <w:rsid w:val="00FF12F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4FFF03"/>
  <w15:docId w15:val="{87F86E80-0A0F-4ECA-AD6A-41F69A0FB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4"/>
        <w:szCs w:val="24"/>
        <w:lang w:val="es-ES_tradnl"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47E"/>
    <w:rPr>
      <w:rFonts w:ascii="Times New Roman" w:eastAsia="Times New Roman" w:hAnsi="Times New Roman"/>
      <w:lang w:val="es-ES" w:eastAsia="es-ES"/>
    </w:rPr>
  </w:style>
  <w:style w:type="paragraph" w:styleId="Ttulo1">
    <w:name w:val="heading 1"/>
    <w:basedOn w:val="Normal"/>
    <w:next w:val="Normal"/>
    <w:link w:val="Ttulo1Car"/>
    <w:uiPriority w:val="9"/>
    <w:qFormat/>
    <w:rsid w:val="008960A0"/>
    <w:pPr>
      <w:keepNext/>
      <w:keepLines/>
      <w:spacing w:before="480"/>
      <w:outlineLvl w:val="0"/>
    </w:pPr>
    <w:rPr>
      <w:rFonts w:ascii="Cambria" w:eastAsia="MS Gothic" w:hAnsi="Cambria"/>
      <w:b/>
      <w:bCs/>
      <w:color w:val="345A8A"/>
      <w:sz w:val="32"/>
      <w:szCs w:val="32"/>
    </w:rPr>
  </w:style>
  <w:style w:type="paragraph" w:styleId="Ttulo2">
    <w:name w:val="heading 2"/>
    <w:basedOn w:val="Normal"/>
    <w:next w:val="Normal"/>
    <w:link w:val="Ttulo2Car"/>
    <w:uiPriority w:val="9"/>
    <w:unhideWhenUsed/>
    <w:qFormat/>
    <w:rsid w:val="003F0AC5"/>
    <w:pPr>
      <w:keepNext/>
      <w:keepLines/>
      <w:spacing w:before="200"/>
      <w:outlineLvl w:val="1"/>
    </w:pPr>
    <w:rPr>
      <w:rFonts w:ascii="Cambria" w:eastAsia="MS Gothic" w:hAnsi="Cambria"/>
      <w:b/>
      <w:bCs/>
      <w:color w:val="4F81BD"/>
      <w:sz w:val="26"/>
      <w:szCs w:val="26"/>
    </w:rPr>
  </w:style>
  <w:style w:type="paragraph" w:styleId="Ttulo3">
    <w:name w:val="heading 3"/>
    <w:basedOn w:val="Normal"/>
    <w:next w:val="Normal"/>
    <w:link w:val="Ttulo3Car"/>
    <w:uiPriority w:val="9"/>
    <w:semiHidden/>
    <w:unhideWhenUsed/>
    <w:qFormat/>
    <w:rsid w:val="008960A0"/>
    <w:pPr>
      <w:keepNext/>
      <w:keepLines/>
      <w:spacing w:before="200"/>
      <w:outlineLvl w:val="2"/>
    </w:pPr>
    <w:rPr>
      <w:rFonts w:ascii="Cambria" w:eastAsia="MS Gothic" w:hAnsi="Cambria"/>
      <w:b/>
      <w:bCs/>
      <w:color w:val="4F81BD"/>
    </w:rPr>
  </w:style>
  <w:style w:type="paragraph" w:styleId="Ttulo4">
    <w:name w:val="heading 4"/>
    <w:basedOn w:val="Normal"/>
    <w:next w:val="Normal"/>
    <w:link w:val="Ttulo4Car"/>
    <w:uiPriority w:val="99"/>
    <w:qFormat/>
    <w:rsid w:val="0006547E"/>
    <w:pPr>
      <w:keepNext/>
      <w:widowControl w:val="0"/>
      <w:autoSpaceDE w:val="0"/>
      <w:autoSpaceDN w:val="0"/>
      <w:adjustRightInd w:val="0"/>
      <w:spacing w:line="297" w:lineRule="exact"/>
      <w:jc w:val="center"/>
      <w:outlineLvl w:val="3"/>
    </w:pPr>
    <w:rPr>
      <w:sz w:val="28"/>
      <w:szCs w:val="28"/>
    </w:rPr>
  </w:style>
  <w:style w:type="paragraph" w:styleId="Ttulo6">
    <w:name w:val="heading 6"/>
    <w:basedOn w:val="Normal"/>
    <w:next w:val="Normal"/>
    <w:link w:val="Ttulo6Car"/>
    <w:uiPriority w:val="9"/>
    <w:semiHidden/>
    <w:unhideWhenUsed/>
    <w:qFormat/>
    <w:rsid w:val="00A27AD9"/>
    <w:pPr>
      <w:spacing w:before="240" w:after="60"/>
      <w:outlineLvl w:val="5"/>
    </w:pPr>
    <w:rPr>
      <w:rFonts w:ascii="Calibri" w:hAnsi="Calibri"/>
      <w:b/>
      <w:bCs/>
      <w:sz w:val="22"/>
      <w:szCs w:val="22"/>
    </w:rPr>
  </w:style>
  <w:style w:type="paragraph" w:styleId="Ttulo7">
    <w:name w:val="heading 7"/>
    <w:basedOn w:val="Normal"/>
    <w:next w:val="Normal"/>
    <w:link w:val="Ttulo7Car"/>
    <w:uiPriority w:val="9"/>
    <w:semiHidden/>
    <w:unhideWhenUsed/>
    <w:qFormat/>
    <w:rsid w:val="00A27AD9"/>
    <w:pPr>
      <w:spacing w:before="240" w:after="60"/>
      <w:outlineLvl w:val="6"/>
    </w:pPr>
    <w:rPr>
      <w:rFonts w:ascii="Calibri" w:hAnsi="Calibri"/>
    </w:rPr>
  </w:style>
  <w:style w:type="paragraph" w:styleId="Ttulo8">
    <w:name w:val="heading 8"/>
    <w:basedOn w:val="Normal"/>
    <w:next w:val="Normal"/>
    <w:link w:val="Ttulo8Car"/>
    <w:unhideWhenUsed/>
    <w:qFormat/>
    <w:rsid w:val="006924D6"/>
    <w:pPr>
      <w:keepNext/>
      <w:keepLines/>
      <w:spacing w:before="200"/>
      <w:outlineLvl w:val="7"/>
    </w:pPr>
    <w:rPr>
      <w:rFonts w:ascii="Cambria" w:eastAsia="MS Gothic" w:hAnsi="Cambria"/>
      <w:color w:val="404040"/>
      <w:sz w:val="20"/>
      <w:szCs w:val="20"/>
    </w:rPr>
  </w:style>
  <w:style w:type="paragraph" w:styleId="Ttulo9">
    <w:name w:val="heading 9"/>
    <w:basedOn w:val="Normal"/>
    <w:next w:val="Normal"/>
    <w:link w:val="Ttulo9Car"/>
    <w:uiPriority w:val="9"/>
    <w:semiHidden/>
    <w:unhideWhenUsed/>
    <w:qFormat/>
    <w:rsid w:val="00A27AD9"/>
    <w:pPr>
      <w:spacing w:before="240" w:after="60"/>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uiPriority w:val="99"/>
    <w:rsid w:val="0006547E"/>
    <w:rPr>
      <w:rFonts w:ascii="Times New Roman" w:eastAsia="Times New Roman" w:hAnsi="Times New Roman" w:cs="Times New Roman"/>
      <w:sz w:val="28"/>
      <w:szCs w:val="28"/>
      <w:lang w:val="es-ES" w:eastAsia="es-ES"/>
    </w:rPr>
  </w:style>
  <w:style w:type="paragraph" w:styleId="Sangradetextonormal">
    <w:name w:val="Body Text Indent"/>
    <w:basedOn w:val="Normal"/>
    <w:link w:val="SangradetextonormalCar"/>
    <w:uiPriority w:val="99"/>
    <w:semiHidden/>
    <w:rsid w:val="0006547E"/>
    <w:pPr>
      <w:widowControl w:val="0"/>
      <w:autoSpaceDE w:val="0"/>
      <w:autoSpaceDN w:val="0"/>
      <w:adjustRightInd w:val="0"/>
      <w:spacing w:line="331" w:lineRule="exact"/>
      <w:ind w:firstLine="676"/>
      <w:jc w:val="both"/>
    </w:pPr>
    <w:rPr>
      <w:sz w:val="28"/>
      <w:szCs w:val="28"/>
    </w:rPr>
  </w:style>
  <w:style w:type="character" w:customStyle="1" w:styleId="SangradetextonormalCar">
    <w:name w:val="Sangría de texto normal Car"/>
    <w:link w:val="Sangradetextonormal"/>
    <w:uiPriority w:val="99"/>
    <w:semiHidden/>
    <w:rsid w:val="0006547E"/>
    <w:rPr>
      <w:rFonts w:ascii="Times New Roman" w:eastAsia="Times New Roman" w:hAnsi="Times New Roman" w:cs="Times New Roman"/>
      <w:sz w:val="28"/>
      <w:szCs w:val="28"/>
      <w:lang w:val="es-ES" w:eastAsia="es-ES"/>
    </w:rPr>
  </w:style>
  <w:style w:type="character" w:styleId="Refdenotaalpie">
    <w:name w:val="footnote reference"/>
    <w:uiPriority w:val="99"/>
    <w:rsid w:val="0006547E"/>
    <w:rPr>
      <w:rFonts w:cs="Times New Roman"/>
      <w:vertAlign w:val="superscript"/>
    </w:rPr>
  </w:style>
  <w:style w:type="character" w:customStyle="1" w:styleId="Ttulo2Car">
    <w:name w:val="Título 2 Car"/>
    <w:link w:val="Ttulo2"/>
    <w:uiPriority w:val="9"/>
    <w:rsid w:val="003F0AC5"/>
    <w:rPr>
      <w:rFonts w:ascii="Cambria" w:eastAsia="MS Gothic" w:hAnsi="Cambria" w:cs="Times New Roman"/>
      <w:b/>
      <w:bCs/>
      <w:color w:val="4F81BD"/>
      <w:sz w:val="26"/>
      <w:szCs w:val="26"/>
      <w:lang w:val="es-ES" w:eastAsia="es-ES"/>
    </w:rPr>
  </w:style>
  <w:style w:type="character" w:customStyle="1" w:styleId="Ttulo1Car">
    <w:name w:val="Título 1 Car"/>
    <w:link w:val="Ttulo1"/>
    <w:uiPriority w:val="9"/>
    <w:rsid w:val="008960A0"/>
    <w:rPr>
      <w:rFonts w:ascii="Cambria" w:eastAsia="MS Gothic" w:hAnsi="Cambria" w:cs="Times New Roman"/>
      <w:b/>
      <w:bCs/>
      <w:color w:val="345A8A"/>
      <w:sz w:val="32"/>
      <w:szCs w:val="32"/>
      <w:lang w:val="es-ES" w:eastAsia="es-ES"/>
    </w:rPr>
  </w:style>
  <w:style w:type="paragraph" w:styleId="Textoindependiente2">
    <w:name w:val="Body Text 2"/>
    <w:basedOn w:val="Normal"/>
    <w:link w:val="Textoindependiente2Car"/>
    <w:uiPriority w:val="99"/>
    <w:unhideWhenUsed/>
    <w:rsid w:val="008960A0"/>
    <w:pPr>
      <w:spacing w:after="120" w:line="480" w:lineRule="auto"/>
    </w:pPr>
  </w:style>
  <w:style w:type="character" w:customStyle="1" w:styleId="Textoindependiente2Car">
    <w:name w:val="Texto independiente 2 Car"/>
    <w:link w:val="Textoindependiente2"/>
    <w:uiPriority w:val="99"/>
    <w:rsid w:val="008960A0"/>
    <w:rPr>
      <w:rFonts w:ascii="Times New Roman" w:eastAsia="Times New Roman" w:hAnsi="Times New Roman" w:cs="Times New Roman"/>
      <w:sz w:val="24"/>
      <w:szCs w:val="24"/>
      <w:lang w:val="es-ES" w:eastAsia="es-ES"/>
    </w:rPr>
  </w:style>
  <w:style w:type="paragraph" w:styleId="Textoindependiente3">
    <w:name w:val="Body Text 3"/>
    <w:basedOn w:val="Normal"/>
    <w:link w:val="Textoindependiente3Car"/>
    <w:uiPriority w:val="99"/>
    <w:semiHidden/>
    <w:unhideWhenUsed/>
    <w:rsid w:val="008960A0"/>
    <w:pPr>
      <w:spacing w:after="120"/>
    </w:pPr>
    <w:rPr>
      <w:sz w:val="16"/>
      <w:szCs w:val="16"/>
    </w:rPr>
  </w:style>
  <w:style w:type="character" w:customStyle="1" w:styleId="Textoindependiente3Car">
    <w:name w:val="Texto independiente 3 Car"/>
    <w:link w:val="Textoindependiente3"/>
    <w:uiPriority w:val="99"/>
    <w:semiHidden/>
    <w:rsid w:val="008960A0"/>
    <w:rPr>
      <w:rFonts w:ascii="Times New Roman" w:eastAsia="Times New Roman" w:hAnsi="Times New Roman" w:cs="Times New Roman"/>
      <w:sz w:val="16"/>
      <w:szCs w:val="16"/>
      <w:lang w:val="es-ES" w:eastAsia="es-ES"/>
    </w:rPr>
  </w:style>
  <w:style w:type="paragraph" w:styleId="NormalWeb">
    <w:name w:val="Normal (Web)"/>
    <w:basedOn w:val="Normal"/>
    <w:uiPriority w:val="99"/>
    <w:rsid w:val="008960A0"/>
    <w:pPr>
      <w:spacing w:before="100" w:beforeAutospacing="1" w:after="100" w:afterAutospacing="1"/>
    </w:pPr>
    <w:rPr>
      <w:lang w:val="es-MX" w:eastAsia="es-MX"/>
    </w:rPr>
  </w:style>
  <w:style w:type="paragraph" w:styleId="Textonotapie">
    <w:name w:val="footnote text"/>
    <w:basedOn w:val="Normal"/>
    <w:link w:val="TextonotapieCar"/>
    <w:uiPriority w:val="99"/>
    <w:rsid w:val="008960A0"/>
    <w:rPr>
      <w:rFonts w:ascii="Calibri" w:eastAsia="Calibri" w:hAnsi="Calibri"/>
      <w:sz w:val="20"/>
      <w:szCs w:val="20"/>
    </w:rPr>
  </w:style>
  <w:style w:type="character" w:customStyle="1" w:styleId="TextonotapieCar">
    <w:name w:val="Texto nota pie Car"/>
    <w:link w:val="Textonotapie"/>
    <w:uiPriority w:val="99"/>
    <w:rsid w:val="008960A0"/>
    <w:rPr>
      <w:rFonts w:eastAsia="Calibri" w:cs="Times New Roman"/>
      <w:sz w:val="20"/>
      <w:szCs w:val="20"/>
    </w:rPr>
  </w:style>
  <w:style w:type="table" w:styleId="Tablaconcuadrcula">
    <w:name w:val="Table Grid"/>
    <w:basedOn w:val="Tablanormal"/>
    <w:uiPriority w:val="39"/>
    <w:rsid w:val="008960A0"/>
    <w:rPr>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60A0"/>
    <w:pPr>
      <w:autoSpaceDE w:val="0"/>
      <w:autoSpaceDN w:val="0"/>
      <w:adjustRightInd w:val="0"/>
    </w:pPr>
    <w:rPr>
      <w:rFonts w:ascii="Adobe Garamond Pro" w:eastAsia="Times New Roman" w:hAnsi="Adobe Garamond Pro" w:cs="Adobe Garamond Pro"/>
      <w:color w:val="000000"/>
      <w:lang w:val="es-ES" w:eastAsia="es-ES"/>
    </w:rPr>
  </w:style>
  <w:style w:type="character" w:customStyle="1" w:styleId="Ttulo3Car">
    <w:name w:val="Título 3 Car"/>
    <w:link w:val="Ttulo3"/>
    <w:uiPriority w:val="9"/>
    <w:semiHidden/>
    <w:rsid w:val="008960A0"/>
    <w:rPr>
      <w:rFonts w:ascii="Cambria" w:eastAsia="MS Gothic" w:hAnsi="Cambria" w:cs="Times New Roman"/>
      <w:b/>
      <w:bCs/>
      <w:color w:val="4F81BD"/>
      <w:sz w:val="24"/>
      <w:szCs w:val="24"/>
      <w:lang w:val="es-ES" w:eastAsia="es-ES"/>
    </w:rPr>
  </w:style>
  <w:style w:type="paragraph" w:styleId="Ttulo">
    <w:name w:val="Title"/>
    <w:basedOn w:val="Normal"/>
    <w:link w:val="TtuloCar"/>
    <w:qFormat/>
    <w:rsid w:val="008960A0"/>
    <w:pPr>
      <w:jc w:val="center"/>
    </w:pPr>
    <w:rPr>
      <w:rFonts w:ascii="Arial" w:hAnsi="Arial"/>
      <w:color w:val="C0C0C0"/>
      <w:spacing w:val="10"/>
      <w:sz w:val="40"/>
    </w:rPr>
  </w:style>
  <w:style w:type="character" w:customStyle="1" w:styleId="TtuloCar">
    <w:name w:val="Título Car"/>
    <w:link w:val="Ttulo"/>
    <w:rsid w:val="008960A0"/>
    <w:rPr>
      <w:rFonts w:ascii="Arial" w:eastAsia="Times New Roman" w:hAnsi="Arial" w:cs="Times New Roman"/>
      <w:color w:val="C0C0C0"/>
      <w:spacing w:val="10"/>
      <w:sz w:val="40"/>
      <w:szCs w:val="24"/>
      <w:lang w:eastAsia="es-ES"/>
    </w:rPr>
  </w:style>
  <w:style w:type="paragraph" w:styleId="Textodeglobo">
    <w:name w:val="Balloon Text"/>
    <w:basedOn w:val="Normal"/>
    <w:link w:val="TextodegloboCar"/>
    <w:uiPriority w:val="99"/>
    <w:semiHidden/>
    <w:unhideWhenUsed/>
    <w:rsid w:val="008960A0"/>
    <w:rPr>
      <w:rFonts w:ascii="Lucida Grande" w:hAnsi="Lucida Grande"/>
      <w:sz w:val="18"/>
      <w:szCs w:val="18"/>
    </w:rPr>
  </w:style>
  <w:style w:type="character" w:customStyle="1" w:styleId="TextodegloboCar">
    <w:name w:val="Texto de globo Car"/>
    <w:link w:val="Textodeglobo"/>
    <w:uiPriority w:val="99"/>
    <w:semiHidden/>
    <w:rsid w:val="008960A0"/>
    <w:rPr>
      <w:rFonts w:ascii="Lucida Grande" w:eastAsia="Times New Roman" w:hAnsi="Lucida Grande" w:cs="Lucida Grande"/>
      <w:sz w:val="18"/>
      <w:szCs w:val="18"/>
      <w:lang w:val="es-ES" w:eastAsia="es-ES"/>
    </w:rPr>
  </w:style>
  <w:style w:type="character" w:styleId="Hipervnculo">
    <w:name w:val="Hyperlink"/>
    <w:uiPriority w:val="99"/>
    <w:unhideWhenUsed/>
    <w:rsid w:val="006F374D"/>
    <w:rPr>
      <w:color w:val="0000FF"/>
      <w:u w:val="single"/>
    </w:rPr>
  </w:style>
  <w:style w:type="character" w:styleId="Refdecomentario">
    <w:name w:val="annotation reference"/>
    <w:uiPriority w:val="99"/>
    <w:unhideWhenUsed/>
    <w:rsid w:val="00DF4C3B"/>
    <w:rPr>
      <w:sz w:val="18"/>
      <w:szCs w:val="18"/>
    </w:rPr>
  </w:style>
  <w:style w:type="paragraph" w:styleId="Textocomentario">
    <w:name w:val="annotation text"/>
    <w:basedOn w:val="Normal"/>
    <w:link w:val="TextocomentarioCar"/>
    <w:uiPriority w:val="99"/>
    <w:unhideWhenUsed/>
    <w:rsid w:val="00DF4C3B"/>
  </w:style>
  <w:style w:type="character" w:customStyle="1" w:styleId="TextocomentarioCar">
    <w:name w:val="Texto comentario Car"/>
    <w:link w:val="Textocomentario"/>
    <w:uiPriority w:val="99"/>
    <w:rsid w:val="00DF4C3B"/>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F4C3B"/>
    <w:rPr>
      <w:b/>
      <w:bCs/>
      <w:sz w:val="20"/>
      <w:szCs w:val="20"/>
    </w:rPr>
  </w:style>
  <w:style w:type="character" w:customStyle="1" w:styleId="AsuntodelcomentarioCar">
    <w:name w:val="Asunto del comentario Car"/>
    <w:link w:val="Asuntodelcomentario"/>
    <w:uiPriority w:val="99"/>
    <w:semiHidden/>
    <w:rsid w:val="00DF4C3B"/>
    <w:rPr>
      <w:rFonts w:ascii="Times New Roman" w:eastAsia="Times New Roman" w:hAnsi="Times New Roman" w:cs="Times New Roman"/>
      <w:b/>
      <w:bCs/>
      <w:sz w:val="20"/>
      <w:szCs w:val="20"/>
      <w:lang w:val="es-ES" w:eastAsia="es-ES"/>
    </w:rPr>
  </w:style>
  <w:style w:type="paragraph" w:styleId="Prrafodelista">
    <w:name w:val="List Paragraph"/>
    <w:basedOn w:val="Normal"/>
    <w:link w:val="PrrafodelistaCar"/>
    <w:uiPriority w:val="34"/>
    <w:qFormat/>
    <w:rsid w:val="001B2666"/>
    <w:pPr>
      <w:ind w:left="720"/>
      <w:contextualSpacing/>
    </w:pPr>
  </w:style>
  <w:style w:type="paragraph" w:styleId="Piedepgina">
    <w:name w:val="footer"/>
    <w:basedOn w:val="Normal"/>
    <w:link w:val="PiedepginaCar"/>
    <w:uiPriority w:val="99"/>
    <w:unhideWhenUsed/>
    <w:rsid w:val="005A7DEE"/>
    <w:pPr>
      <w:tabs>
        <w:tab w:val="center" w:pos="4252"/>
        <w:tab w:val="right" w:pos="8504"/>
      </w:tabs>
    </w:pPr>
  </w:style>
  <w:style w:type="character" w:customStyle="1" w:styleId="PiedepginaCar">
    <w:name w:val="Pie de página Car"/>
    <w:link w:val="Piedepgina"/>
    <w:uiPriority w:val="99"/>
    <w:rsid w:val="005A7DEE"/>
    <w:rPr>
      <w:rFonts w:ascii="Times New Roman" w:eastAsia="Times New Roman" w:hAnsi="Times New Roman" w:cs="Times New Roman"/>
      <w:sz w:val="24"/>
      <w:szCs w:val="24"/>
      <w:lang w:val="es-ES" w:eastAsia="es-ES"/>
    </w:rPr>
  </w:style>
  <w:style w:type="character" w:styleId="Nmerodepgina">
    <w:name w:val="page number"/>
    <w:basedOn w:val="Fuentedeprrafopredeter"/>
    <w:uiPriority w:val="99"/>
    <w:semiHidden/>
    <w:unhideWhenUsed/>
    <w:rsid w:val="005A7DEE"/>
  </w:style>
  <w:style w:type="paragraph" w:styleId="Encabezado">
    <w:name w:val="header"/>
    <w:basedOn w:val="Normal"/>
    <w:link w:val="EncabezadoCar"/>
    <w:unhideWhenUsed/>
    <w:rsid w:val="005B149B"/>
    <w:pPr>
      <w:tabs>
        <w:tab w:val="center" w:pos="4252"/>
        <w:tab w:val="right" w:pos="8504"/>
      </w:tabs>
    </w:pPr>
  </w:style>
  <w:style w:type="character" w:customStyle="1" w:styleId="EncabezadoCar">
    <w:name w:val="Encabezado Car"/>
    <w:link w:val="Encabezado"/>
    <w:rsid w:val="005B149B"/>
    <w:rPr>
      <w:rFonts w:ascii="Times New Roman" w:eastAsia="Times New Roman" w:hAnsi="Times New Roman" w:cs="Times New Roman"/>
      <w:sz w:val="24"/>
      <w:szCs w:val="24"/>
      <w:lang w:val="es-ES" w:eastAsia="es-ES"/>
    </w:rPr>
  </w:style>
  <w:style w:type="character" w:customStyle="1" w:styleId="apple-converted-space">
    <w:name w:val="apple-converted-space"/>
    <w:basedOn w:val="Fuentedeprrafopredeter"/>
    <w:rsid w:val="00F1045A"/>
  </w:style>
  <w:style w:type="character" w:customStyle="1" w:styleId="Ttulo8Car">
    <w:name w:val="Título 8 Car"/>
    <w:link w:val="Ttulo8"/>
    <w:rsid w:val="006924D6"/>
    <w:rPr>
      <w:rFonts w:ascii="Cambria" w:eastAsia="MS Gothic" w:hAnsi="Cambria" w:cs="Times New Roman"/>
      <w:color w:val="404040"/>
      <w:sz w:val="20"/>
      <w:szCs w:val="20"/>
      <w:lang w:val="es-ES" w:eastAsia="es-ES"/>
    </w:rPr>
  </w:style>
  <w:style w:type="paragraph" w:customStyle="1" w:styleId="Style-3">
    <w:name w:val="Style-3"/>
    <w:rsid w:val="00773E95"/>
    <w:rPr>
      <w:rFonts w:ascii="Times New Roman" w:eastAsia="Times New Roman" w:hAnsi="Times New Roman"/>
      <w:noProof/>
      <w:lang w:val="es-MX" w:eastAsia="es-MX"/>
    </w:rPr>
  </w:style>
  <w:style w:type="paragraph" w:styleId="Textoindependiente">
    <w:name w:val="Body Text"/>
    <w:basedOn w:val="Normal"/>
    <w:link w:val="TextoindependienteCar"/>
    <w:unhideWhenUsed/>
    <w:rsid w:val="00773E95"/>
    <w:pPr>
      <w:spacing w:after="120"/>
    </w:pPr>
  </w:style>
  <w:style w:type="character" w:customStyle="1" w:styleId="TextoindependienteCar">
    <w:name w:val="Texto independiente Car"/>
    <w:link w:val="Textoindependiente"/>
    <w:rsid w:val="00773E95"/>
    <w:rPr>
      <w:rFonts w:ascii="Times New Roman" w:eastAsia="Times New Roman" w:hAnsi="Times New Roman" w:cs="Times New Roman"/>
      <w:sz w:val="24"/>
      <w:szCs w:val="24"/>
      <w:lang w:val="es-ES" w:eastAsia="es-ES"/>
    </w:rPr>
  </w:style>
  <w:style w:type="character" w:styleId="nfasis">
    <w:name w:val="Emphasis"/>
    <w:qFormat/>
    <w:rsid w:val="00773E95"/>
    <w:rPr>
      <w:rFonts w:cs="Times New Roman"/>
      <w:i/>
      <w:iCs/>
    </w:rPr>
  </w:style>
  <w:style w:type="paragraph" w:styleId="Sangra3detindependiente">
    <w:name w:val="Body Text Indent 3"/>
    <w:basedOn w:val="Normal"/>
    <w:link w:val="Sangra3detindependienteCar"/>
    <w:uiPriority w:val="99"/>
    <w:unhideWhenUsed/>
    <w:rsid w:val="00AB1A24"/>
    <w:pPr>
      <w:spacing w:after="120"/>
      <w:ind w:left="283"/>
    </w:pPr>
    <w:rPr>
      <w:sz w:val="16"/>
      <w:szCs w:val="16"/>
    </w:rPr>
  </w:style>
  <w:style w:type="character" w:customStyle="1" w:styleId="Sangra3detindependienteCar">
    <w:name w:val="Sangría 3 de t. independiente Car"/>
    <w:link w:val="Sangra3detindependiente"/>
    <w:uiPriority w:val="99"/>
    <w:rsid w:val="00AB1A24"/>
    <w:rPr>
      <w:rFonts w:ascii="Times New Roman" w:eastAsia="Times New Roman" w:hAnsi="Times New Roman" w:cs="Times New Roman"/>
      <w:sz w:val="16"/>
      <w:szCs w:val="16"/>
      <w:lang w:val="es-ES" w:eastAsia="es-ES"/>
    </w:rPr>
  </w:style>
  <w:style w:type="paragraph" w:styleId="Revisin">
    <w:name w:val="Revision"/>
    <w:hidden/>
    <w:uiPriority w:val="99"/>
    <w:semiHidden/>
    <w:rsid w:val="00FA71CB"/>
    <w:rPr>
      <w:rFonts w:ascii="Times New Roman" w:eastAsia="Times New Roman" w:hAnsi="Times New Roman"/>
      <w:lang w:val="es-ES" w:eastAsia="es-ES"/>
    </w:rPr>
  </w:style>
  <w:style w:type="character" w:customStyle="1" w:styleId="tl8wme">
    <w:name w:val="tl8wme"/>
    <w:basedOn w:val="Fuentedeprrafopredeter"/>
    <w:rsid w:val="00C53FD7"/>
  </w:style>
  <w:style w:type="paragraph" w:styleId="Sinespaciado">
    <w:name w:val="No Spacing"/>
    <w:uiPriority w:val="1"/>
    <w:qFormat/>
    <w:rsid w:val="00C53FD7"/>
    <w:rPr>
      <w:rFonts w:eastAsia="Times New Roman"/>
      <w:lang w:eastAsia="es-ES"/>
    </w:rPr>
  </w:style>
  <w:style w:type="character" w:styleId="Textoennegrita">
    <w:name w:val="Strong"/>
    <w:uiPriority w:val="22"/>
    <w:qFormat/>
    <w:rsid w:val="00C53FD7"/>
    <w:rPr>
      <w:b/>
      <w:bCs/>
    </w:rPr>
  </w:style>
  <w:style w:type="paragraph" w:customStyle="1" w:styleId="Texto">
    <w:name w:val="Texto"/>
    <w:basedOn w:val="Normal"/>
    <w:link w:val="TextoCar"/>
    <w:rsid w:val="00B04149"/>
    <w:pPr>
      <w:spacing w:after="101" w:line="216" w:lineRule="exact"/>
      <w:ind w:firstLine="288"/>
      <w:jc w:val="both"/>
    </w:pPr>
    <w:rPr>
      <w:rFonts w:ascii="Arial" w:hAnsi="Arial"/>
      <w:sz w:val="18"/>
      <w:szCs w:val="20"/>
    </w:rPr>
  </w:style>
  <w:style w:type="character" w:customStyle="1" w:styleId="TextoCar">
    <w:name w:val="Texto Car"/>
    <w:link w:val="Texto"/>
    <w:locked/>
    <w:rsid w:val="00B04149"/>
    <w:rPr>
      <w:rFonts w:ascii="Arial" w:eastAsia="Times New Roman" w:hAnsi="Arial" w:cs="Arial"/>
      <w:sz w:val="18"/>
      <w:lang w:val="es-ES" w:eastAsia="es-ES"/>
    </w:rPr>
  </w:style>
  <w:style w:type="paragraph" w:customStyle="1" w:styleId="dp4">
    <w:name w:val="dp4"/>
    <w:basedOn w:val="Normal"/>
    <w:rsid w:val="00AD5800"/>
    <w:pPr>
      <w:spacing w:before="100" w:beforeAutospacing="1" w:after="100" w:afterAutospacing="1"/>
    </w:pPr>
    <w:rPr>
      <w:lang w:val="es-MX" w:eastAsia="es-MX"/>
    </w:rPr>
  </w:style>
  <w:style w:type="character" w:customStyle="1" w:styleId="dp6">
    <w:name w:val="dp6"/>
    <w:basedOn w:val="Fuentedeprrafopredeter"/>
    <w:rsid w:val="00AD5800"/>
  </w:style>
  <w:style w:type="paragraph" w:customStyle="1" w:styleId="dp1">
    <w:name w:val="dp1"/>
    <w:basedOn w:val="Normal"/>
    <w:rsid w:val="00AD5800"/>
    <w:pPr>
      <w:spacing w:before="100" w:beforeAutospacing="1" w:after="100" w:afterAutospacing="1"/>
    </w:pPr>
    <w:rPr>
      <w:lang w:val="es-MX" w:eastAsia="es-MX"/>
    </w:rPr>
  </w:style>
  <w:style w:type="character" w:customStyle="1" w:styleId="dp7">
    <w:name w:val="dp7"/>
    <w:basedOn w:val="Fuentedeprrafopredeter"/>
    <w:rsid w:val="00AD5800"/>
  </w:style>
  <w:style w:type="paragraph" w:customStyle="1" w:styleId="Ttulo10">
    <w:name w:val="Título1"/>
    <w:basedOn w:val="Normal"/>
    <w:uiPriority w:val="99"/>
    <w:qFormat/>
    <w:rsid w:val="00133E0A"/>
    <w:pPr>
      <w:jc w:val="center"/>
    </w:pPr>
    <w:rPr>
      <w:rFonts w:ascii="Arial" w:hAnsi="Arial"/>
      <w:b/>
      <w:snapToGrid w:val="0"/>
      <w:color w:val="000080"/>
      <w:sz w:val="20"/>
      <w:szCs w:val="20"/>
      <w:lang w:val="es-MX"/>
    </w:rPr>
  </w:style>
  <w:style w:type="character" w:customStyle="1" w:styleId="PrrafodelistaCar">
    <w:name w:val="Párrafo de lista Car"/>
    <w:link w:val="Prrafodelista"/>
    <w:uiPriority w:val="34"/>
    <w:rsid w:val="00F573D6"/>
    <w:rPr>
      <w:rFonts w:ascii="Times New Roman" w:eastAsia="Times New Roman" w:hAnsi="Times New Roman"/>
      <w:sz w:val="24"/>
      <w:szCs w:val="24"/>
      <w:lang w:val="es-ES" w:eastAsia="es-ES"/>
    </w:rPr>
  </w:style>
  <w:style w:type="character" w:customStyle="1" w:styleId="Ttulo6Car">
    <w:name w:val="Título 6 Car"/>
    <w:link w:val="Ttulo6"/>
    <w:uiPriority w:val="9"/>
    <w:semiHidden/>
    <w:rsid w:val="00A27AD9"/>
    <w:rPr>
      <w:rFonts w:ascii="Calibri" w:eastAsia="Times New Roman" w:hAnsi="Calibri" w:cs="Times New Roman"/>
      <w:b/>
      <w:bCs/>
      <w:sz w:val="22"/>
      <w:szCs w:val="22"/>
      <w:lang w:val="es-ES" w:eastAsia="es-ES"/>
    </w:rPr>
  </w:style>
  <w:style w:type="character" w:customStyle="1" w:styleId="Ttulo7Car">
    <w:name w:val="Título 7 Car"/>
    <w:link w:val="Ttulo7"/>
    <w:uiPriority w:val="9"/>
    <w:semiHidden/>
    <w:rsid w:val="00A27AD9"/>
    <w:rPr>
      <w:rFonts w:ascii="Calibri" w:eastAsia="Times New Roman" w:hAnsi="Calibri" w:cs="Times New Roman"/>
      <w:sz w:val="24"/>
      <w:szCs w:val="24"/>
      <w:lang w:val="es-ES" w:eastAsia="es-ES"/>
    </w:rPr>
  </w:style>
  <w:style w:type="character" w:customStyle="1" w:styleId="Ttulo9Car">
    <w:name w:val="Título 9 Car"/>
    <w:link w:val="Ttulo9"/>
    <w:uiPriority w:val="9"/>
    <w:semiHidden/>
    <w:rsid w:val="00A27AD9"/>
    <w:rPr>
      <w:rFonts w:ascii="Cambria" w:eastAsia="Times New Roman" w:hAnsi="Cambria" w:cs="Times New Roman"/>
      <w:sz w:val="22"/>
      <w:szCs w:val="22"/>
      <w:lang w:val="es-ES" w:eastAsia="es-ES"/>
    </w:rPr>
  </w:style>
  <w:style w:type="paragraph" w:styleId="Sangra2detindependiente">
    <w:name w:val="Body Text Indent 2"/>
    <w:basedOn w:val="Normal"/>
    <w:link w:val="Sangra2detindependienteCar"/>
    <w:uiPriority w:val="99"/>
    <w:semiHidden/>
    <w:unhideWhenUsed/>
    <w:rsid w:val="00A27AD9"/>
    <w:pPr>
      <w:spacing w:after="120" w:line="480" w:lineRule="auto"/>
      <w:ind w:left="283"/>
    </w:pPr>
  </w:style>
  <w:style w:type="character" w:customStyle="1" w:styleId="Sangra2detindependienteCar">
    <w:name w:val="Sangría 2 de t. independiente Car"/>
    <w:link w:val="Sangra2detindependiente"/>
    <w:uiPriority w:val="99"/>
    <w:semiHidden/>
    <w:rsid w:val="00A27AD9"/>
    <w:rPr>
      <w:rFonts w:ascii="Times New Roman" w:eastAsia="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651585">
      <w:bodyDiv w:val="1"/>
      <w:marLeft w:val="0"/>
      <w:marRight w:val="0"/>
      <w:marTop w:val="0"/>
      <w:marBottom w:val="0"/>
      <w:divBdr>
        <w:top w:val="none" w:sz="0" w:space="0" w:color="auto"/>
        <w:left w:val="none" w:sz="0" w:space="0" w:color="auto"/>
        <w:bottom w:val="none" w:sz="0" w:space="0" w:color="auto"/>
        <w:right w:val="none" w:sz="0" w:space="0" w:color="auto"/>
      </w:divBdr>
    </w:div>
    <w:div w:id="1936791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4AD81F-642D-4555-8AB2-600C52349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3156</Words>
  <Characters>17359</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20475</CharactersWithSpaces>
  <SharedDoc>false</SharedDoc>
  <HLinks>
    <vt:vector size="12" baseType="variant">
      <vt:variant>
        <vt:i4>6684733</vt:i4>
      </vt:variant>
      <vt:variant>
        <vt:i4>0</vt:i4>
      </vt:variant>
      <vt:variant>
        <vt:i4>0</vt:i4>
      </vt:variant>
      <vt:variant>
        <vt:i4>5</vt:i4>
      </vt:variant>
      <vt:variant>
        <vt:lpwstr>http://www.banxico.gob.mx/</vt:lpwstr>
      </vt:variant>
      <vt:variant>
        <vt:lpwstr/>
      </vt:variant>
      <vt:variant>
        <vt:i4>7536682</vt:i4>
      </vt:variant>
      <vt:variant>
        <vt:i4>0</vt:i4>
      </vt:variant>
      <vt:variant>
        <vt:i4>0</vt:i4>
      </vt:variant>
      <vt:variant>
        <vt:i4>5</vt:i4>
      </vt:variant>
      <vt:variant>
        <vt:lpwstr>http://www.bmv.com.mx/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Edmundo Alain Soto Torres</dc:creator>
  <cp:lastModifiedBy>Norma Franco Ruíz</cp:lastModifiedBy>
  <cp:revision>4</cp:revision>
  <cp:lastPrinted>2017-12-06T15:13:00Z</cp:lastPrinted>
  <dcterms:created xsi:type="dcterms:W3CDTF">2017-12-06T15:12:00Z</dcterms:created>
  <dcterms:modified xsi:type="dcterms:W3CDTF">2017-12-06T17:49:00Z</dcterms:modified>
</cp:coreProperties>
</file>